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Cellular</w:t>
      </w:r>
      <w:r>
        <w:t xml:space="preserve"> </w:t>
      </w:r>
      <w:r>
        <w:t xml:space="preserve">Ecology</w:t>
      </w:r>
      <w:r>
        <w:t xml:space="preserve"> </w:t>
      </w:r>
      <w:r>
        <w:t xml:space="preserve">of</w:t>
      </w:r>
      <w:r>
        <w:t xml:space="preserve"> </w:t>
      </w:r>
      <w:r>
        <w:t xml:space="preserve">the</w:t>
      </w:r>
      <w:r>
        <w:t xml:space="preserve"> </w:t>
      </w:r>
      <w:r>
        <w:t xml:space="preserve">Mouse</w:t>
      </w:r>
      <w:r>
        <w:t xml:space="preserve"> </w:t>
      </w:r>
      <w:r>
        <w:t xml:space="preserve">Thymus</w:t>
      </w:r>
    </w:p>
    <w:p>
      <w:pPr>
        <w:pStyle w:val="Authors"/>
      </w:pPr>
      <w:r>
        <w:t xml:space="preserve">Mary</w:t>
      </w:r>
      <w:r>
        <w:t xml:space="preserve"> </w:t>
      </w:r>
      <w:r>
        <w:t xml:space="preserve">Browning,</w:t>
      </w:r>
      <w:r>
        <w:t xml:space="preserve"> </w:t>
      </w:r>
      <w:r>
        <w:t xml:space="preserve">John</w:t>
      </w:r>
      <w:r>
        <w:t xml:space="preserve"> </w:t>
      </w:r>
      <w:r>
        <w:t xml:space="preserve">Wares,</w:t>
      </w:r>
      <w:r>
        <w:t xml:space="preserve"> </w:t>
      </w:r>
      <w:r>
        <w:t xml:space="preserve">Andrew</w:t>
      </w:r>
      <w:r>
        <w:t xml:space="preserve"> </w:t>
      </w:r>
      <w:r>
        <w:t xml:space="preserve">Park,</w:t>
      </w:r>
      <w:r>
        <w:t xml:space="preserve"> </w:t>
      </w:r>
      <w:r>
        <w:t xml:space="preserve">Nancy</w:t>
      </w:r>
      <w:r>
        <w:t xml:space="preserve"> </w:t>
      </w:r>
      <w:r>
        <w:t xml:space="preserve">Manley</w:t>
      </w:r>
    </w:p>
    <w:p>
      <w:pPr>
        <w:pStyle w:val="Date"/>
      </w:pPr>
      <w:r>
        <w:t xml:space="preserve">27</w:t>
      </w:r>
      <w:r>
        <w:t xml:space="preserve"> </w:t>
      </w:r>
      <w:r>
        <w:t xml:space="preserve">February,</w:t>
      </w:r>
      <w:r>
        <w:t xml:space="preserve"> </w:t>
      </w:r>
      <w:r>
        <w:t xml:space="preserve">2015</w:t>
      </w:r>
    </w:p>
    <w:p>
      <w:r>
        <w:t xml:space="preserve">&lt;&lt;&lt;&lt;&lt;&lt;&lt; HEAD ## Introduction2</w:t>
      </w:r>
    </w:p>
    <w:p>
      <w:r>
        <w:t xml:space="preserve">Abstract</w:t>
      </w:r>
    </w:p>
    <w:p>
      <w:r>
        <w:t xml:space="preserve">The correct organization and abundance of cell types is important for optimal organ performance, but no quantitative methods currently exist for distinguishing organizational patterns. The ability to identify recurrent or cryptic cellular patterns could help us to better understand tissue function and to make comparisons with diseased tissues. Here, in an attempt to overcome this barrier, we have developed novel molecular and computational analyses that allow us to study the organ of our choice, the thymus, in a statistical framework. First, we identify cell type abundance and location and use this information to recreate a virtual thymus section. We then treat cell types like species in an ecosystem, thus enabling us to directly apply quantitative approaches used in ecology to our virtual section. We use K means clustering to computationally produce regions of the thymus a priori, followed by Bray Curtis Dissimilarity Index to determine the degree of dissimilarity between thymus samples and regions of the thymus. The output generated from these analyses can then be used to better understand spatial patterns/biogeography within a healthy functional thymus and will enable us to make informative comparisons of thymic tissues under different developmental, mutant, or disease conditions.</w:t>
      </w:r>
    </w:p>
    <w:p>
      <w:r>
        <w:t xml:space="preserve">======= ## Introduction &gt;&gt;&gt;&gt;&gt;&gt;&gt; origin/master</w:t>
      </w:r>
    </w:p>
    <w:p>
      <w:r>
        <w:t xml:space="preserve">Within the field of organ biology, there is a lack of quantitative methods for analyzing the organization, as opposed to the composition, of organs and tissues. Healthy organs require more than the appropriate proportions of component parts; these parts must also be arranged in specific ways in order to function properly. Without quantitative methods for assessing organization, a significant aspect of organ biology is inaccessible to analysis. However, beyond essentially descriptive assays, there are few statistical tools available for interpreting organizational characteristics. In contrast, the fields of ecology and population genetics have a robust mathematical tradition, with multiple quantitative tools available for describing the natural world. Fortunately, and surprisingly, a striking comparison can be drawn between the interactions that occur within organ systems and those that occur within ecosystems. For instance, cell types in an organ, like species in an ecosystem, are influenced by the availability of space and resources as well as by the presence or absence of other cell types. The presence or absence of one cell type may alter the functional role and dominance of another, or the overall service the community provides to the larger system</w:t>
      </w:r>
      <w:r>
        <w:t xml:space="preserve"> </w:t>
      </w:r>
      <w:r>
        <w:t xml:space="preserve">(Wootton 2005)</w:t>
      </w:r>
      <w:r>
        <w:t xml:space="preserve">. Also, tissues are not typically composed with all cell types at equal abundance, which is similar to species in a community</w:t>
      </w:r>
      <w:r>
        <w:t xml:space="preserve"> </w:t>
      </w:r>
      <w:r>
        <w:t xml:space="preserve">(Krebs 1999)</w:t>
      </w:r>
      <w:r>
        <w:t xml:space="preserve">; there are a few common "species", and many low abundance "species" that fit a normal distribution curve. By comparing cell types within a biological organ to species in an ecosystem, statistical methods used by ecologists can be directly applied to biological systems. We seek to make this comparison in an effort to expand the quantitative tools/methods available to organ biologists through the use of a well characterized and respected field. Our overall goal is the development of a cellular ecology, where we can model cellular relationships and patterns to better understand the "biogeography" of the organ we wish to study. We aim to develop novel quantitative tools, modeled after the ecological toolkit, to spatially and statistically characterize healthy biological tissues. The results from this analysis will enable further informative comparisons with tissues in states of disequilibrium, including disease or developmental states, in order to identify any recurring organizational differences that can potentially lead to disfunction of the organ of interest.</w:t>
      </w:r>
    </w:p>
    <w:p>
      <w:r>
        <w:t xml:space="preserve">We aim to model a healthy adult organ in order to create a baseline model that can be used for further comparisons. We will accomplish this by identifying location and abundance of different cell types. We will then spatially and compositionally characterize the organ by applying statistical methods commonly used in ecology directly to the produced model. By analyzing the exact spatial location and co-location of component cell types across the domain of a particular tissue or organ, we may gain a better understanding of which interactions - indicated by codistribution and sufficient density - can be validated by independent approach and analysis. To an extent, we recapitulate the spatial scales described above: we explore the differentiation of distinct habitats within the environment (biogeography: identifying regions of endemicity or dramatically shifted abundance), the colocalization of particular sub-groups of cells (community ecology), and we use the tenets of macroecology to the extent that we can generalize that cells need a particular density to be viable interactors, and to the extent that common cells have a larger overall distribution. The co-distribution of constituent species in a community is often used to indicate interaction - whether competitive, trophic, or facilitative</w:t>
      </w:r>
      <w:r>
        <w:t xml:space="preserve"> </w:t>
      </w:r>
      <w:r>
        <w:t xml:space="preserve">(Verberk 2011; Angelini et al. 2011)</w:t>
      </w:r>
      <w:r>
        <w:t xml:space="preserve">.</w:t>
      </w:r>
    </w:p>
    <w:p>
      <w:r>
        <w:t xml:space="preserve">Specific structural aspects of organs with strong 3-D structures, such as the lung, kidney, and other organs that undergo branching morphogenesis, have been modeled with some success</w:t>
      </w:r>
      <w:r>
        <w:t xml:space="preserve"> </w:t>
      </w:r>
      <w:r>
        <w:t xml:space="preserve">(Hartmann and Miura 2007)</w:t>
      </w:r>
      <w:r>
        <w:t xml:space="preserve">. However, the cellular organization of other types of organs can be particularly difficult to assess quantitatively. For example, endodermal glandular organ structure is often difficult to perceive, with organizational characteristics that are visible only with the use of molecular or cellular markers; thus detecting differences in organ structure depends in part on having distinct markers for known functional cellular subsets. Examples of this type of organ include the liver, pancreas, and thymus, all of which are of high clinical importance. Developing a quantitative approach to assessing the structure and function of these organs is thus of direct biomedical relevance. Here, the thymus was chosen because it is an excellent example of cellular level organization, with a strong connection between organization and function. The thymus consists of developing thymocytes supported by a complex cellular environment containing a variety of resident cell types, including thymic epithelial cells (TECs), dendritic cells, blood vessels, and mesenchymal cells. These cell types comprise multiple microenvironments that direct and support thymocytes to develop from immature progenitors into mature T cells that are both self-tolerant and self-restricted. T cell development in the thymus requires interactions with the thymic microenvironments that provide signals for their survival, proliferation, and differentiation (</w:t>
      </w:r>
      <w:r>
        <w:t xml:space="preserve">Gordon and Manley (2011)</w:t>
      </w:r>
      <w:r>
        <w:t xml:space="preserve">). Despite their critical role in the generation of cellular immunity and the clinical importance of thymic regeneration, the composition and organization of thymic microenvironments and the mechanisms that promote their proper development and function are not fully understood, in part due to a lack of technical approaches for quantifying tissue-level properties. Thus, the thymus has many characteristics that make it an excellent system for developing and testing quantitative modeling: a diverse cellular composition that can be identified with cell type-specific markers, regional organization that is required for maximal organ function, genetic models with diverse effects on organ composition and function, assays for experimentally inducing organ degeneration and regeneration, and high biomedical relevance. To date, there are no statistical models of thymus organ structure and function and no established methods for generating one. We seek to overcome this barrier by developing a model of the organization of cell types that can be used to better understand normal thymic organization and function as well as to evaluate states of disequilibrium.</w:t>
      </w:r>
    </w:p>
    <w:p>
      <w:r>
        <w:t xml:space="preserve">Cell Types Used in Analysis SHOULD I INCLUDE PARAFFIN ANTIBODIES?</w:t>
      </w:r>
    </w:p>
    <w:tbl>
      <w:tblPr>
        <w:tblStyle w:val="TableNormal"/>
      </w:tblPr>
      <w:tblGrid>
        <w:gridCol w:w="1320"/>
        <w:gridCol w:w="1210"/>
        <w:gridCol w:w="2750"/>
      </w:tblGrid>
      <w:tr>
        <w:tc>
          <w:p>
            <w:pPr>
              <w:pStyle w:val="Compact"/>
              <w:jc w:val="center"/>
            </w:pPr>
            <w:r>
              <w:t xml:space="preserve">CELL TYPE</w:t>
            </w:r>
          </w:p>
        </w:tc>
        <w:tc>
          <w:p>
            <w:pPr>
              <w:pStyle w:val="Compact"/>
              <w:jc w:val="center"/>
            </w:pPr>
            <w:r>
              <w:t xml:space="preserve">MARKER</w:t>
            </w:r>
          </w:p>
        </w:tc>
        <w:tc>
          <w:p/>
        </w:tc>
      </w:tr>
      <w:tr>
        <w:tc>
          <w:p>
            <w:pPr>
              <w:pStyle w:val="Compact"/>
              <w:jc w:val="center"/>
            </w:pPr>
            <w:r>
              <w:t xml:space="preserve">cTEC</w:t>
            </w:r>
          </w:p>
        </w:tc>
        <w:tc>
          <w:p>
            <w:pPr>
              <w:pStyle w:val="Compact"/>
              <w:jc w:val="center"/>
            </w:pPr>
            <w:r>
              <w:t xml:space="preserve">CD205</w:t>
            </w:r>
          </w:p>
        </w:tc>
        <w:tc>
          <w:p/>
        </w:tc>
      </w:tr>
      <w:tr>
        <w:tc>
          <w:p>
            <w:pPr>
              <w:pStyle w:val="Compact"/>
              <w:jc w:val="center"/>
            </w:pPr>
            <w:r>
              <w:t xml:space="preserve">mTEC</w:t>
            </w:r>
          </w:p>
        </w:tc>
        <w:tc>
          <w:p>
            <w:pPr>
              <w:pStyle w:val="Compact"/>
              <w:jc w:val="center"/>
            </w:pPr>
            <w:r>
              <w:t xml:space="preserve">UEA1, Claud Claudin4, K K5, Claudin</w:t>
            </w:r>
          </w:p>
        </w:tc>
        <w:tc>
          <w:p>
            <w:pPr>
              <w:pStyle w:val="Compact"/>
              <w:jc w:val="left"/>
            </w:pPr>
            <w:r>
              <w:t xml:space="preserve">in3 14 5</w:t>
            </w:r>
          </w:p>
        </w:tc>
      </w:tr>
      <w:tr>
        <w:tc>
          <w:p>
            <w:pPr>
              <w:pStyle w:val="Compact"/>
              <w:jc w:val="center"/>
            </w:pPr>
            <w:r>
              <w:t xml:space="preserve">Blood vesse</w:t>
            </w:r>
          </w:p>
        </w:tc>
        <w:tc>
          <w:p>
            <w:pPr>
              <w:pStyle w:val="Compact"/>
              <w:jc w:val="center"/>
            </w:pPr>
            <w:r>
              <w:t xml:space="preserve">l Claudin5,</w:t>
            </w:r>
          </w:p>
        </w:tc>
        <w:tc>
          <w:p>
            <w:pPr>
              <w:pStyle w:val="Compact"/>
              <w:jc w:val="left"/>
            </w:pPr>
            <w:r>
              <w:t xml:space="preserve">CD31</w:t>
            </w:r>
          </w:p>
        </w:tc>
      </w:tr>
      <w:tr>
        <w:tc>
          <w:p>
            <w:pPr>
              <w:pStyle w:val="Compact"/>
              <w:jc w:val="center"/>
            </w:pPr>
            <w:r>
              <w:t xml:space="preserve">Mesenchyme</w:t>
            </w:r>
          </w:p>
        </w:tc>
        <w:tc>
          <w:p>
            <w:pPr>
              <w:pStyle w:val="Compact"/>
              <w:jc w:val="center"/>
            </w:pPr>
            <w:r>
              <w:t xml:space="preserve">PDGFRb</w:t>
            </w:r>
          </w:p>
        </w:tc>
        <w:tc>
          <w:p/>
        </w:tc>
      </w:tr>
      <w:tr>
        <w:tc>
          <w:p>
            <w:pPr>
              <w:pStyle w:val="Compact"/>
              <w:jc w:val="center"/>
            </w:pPr>
            <w:r>
              <w:t xml:space="preserve">Dendritic</w:t>
            </w:r>
          </w:p>
        </w:tc>
        <w:tc>
          <w:p>
            <w:pPr>
              <w:pStyle w:val="Compact"/>
              <w:jc w:val="center"/>
            </w:pPr>
            <w:r>
              <w:t xml:space="preserve">CD11c</w:t>
            </w:r>
          </w:p>
        </w:tc>
        <w:tc>
          <w:p/>
        </w:tc>
      </w:tr>
      <w:tr>
        <w:tc>
          <w:p>
            <w:pPr>
              <w:pStyle w:val="Compact"/>
              <w:jc w:val="center"/>
            </w:pPr>
            <w:r>
              <w:t xml:space="preserve">Tcells</w:t>
            </w:r>
          </w:p>
        </w:tc>
        <w:tc>
          <w:p>
            <w:pPr>
              <w:pStyle w:val="Compact"/>
              <w:jc w:val="center"/>
            </w:pPr>
            <w:r>
              <w:t xml:space="preserve">Foxp3, CD25</w:t>
            </w:r>
          </w:p>
        </w:tc>
        <w:tc>
          <w:p/>
        </w:tc>
      </w:tr>
    </w:tbl>
    <w:bookmarkStart w:id="21" w:name="methods"/>
    <w:p>
      <w:pPr>
        <w:pStyle w:val="Heading2"/>
      </w:pPr>
      <w:r>
        <w:t xml:space="preserve">Methods</w:t>
      </w:r>
    </w:p>
    <w:bookmarkEnd w:id="21"/>
    <w:bookmarkStart w:id="22" w:name="terminology"/>
    <w:p>
      <w:pPr>
        <w:pStyle w:val="Heading3"/>
      </w:pPr>
      <w:r>
        <w:t xml:space="preserve">Terminology</w:t>
      </w:r>
    </w:p>
    <w:bookmarkEnd w:id="22"/>
    <w:tbl>
      <w:tblPr>
        <w:tblStyle w:val="TableNormal"/>
      </w:tblPr>
      <w:tblGrid>
        <w:gridCol w:w="1320"/>
        <w:gridCol w:w="1210"/>
        <w:gridCol w:w="2750"/>
      </w:tblGrid>
      <w:tr>
        <w:tc>
          <w:p>
            <w:pPr>
              <w:pStyle w:val="Compact"/>
              <w:jc w:val="center"/>
            </w:pPr>
            <w:r>
              <w:t xml:space="preserve">quadrat</w:t>
            </w:r>
          </w:p>
        </w:tc>
        <w:tc>
          <w:p>
            <w:pPr>
              <w:pStyle w:val="Compact"/>
              <w:jc w:val="center"/>
            </w:pPr>
            <w:r>
              <w:t xml:space="preserve">spatial</w:t>
            </w:r>
          </w:p>
        </w:tc>
        <w:tc>
          <w:p>
            <w:pPr>
              <w:pStyle w:val="Compact"/>
              <w:jc w:val="center"/>
            </w:pPr>
            <w:r>
              <w:t xml:space="preserve">sampled unit within domain; cell types in quadrats used to find regions of similar composition</w:t>
            </w:r>
          </w:p>
        </w:tc>
      </w:tr>
      <w:tr>
        <w:tc>
          <w:p>
            <w:pPr>
              <w:pStyle w:val="Compact"/>
              <w:jc w:val="center"/>
            </w:pPr>
            <w:r>
              <w:t xml:space="preserve">transect</w:t>
            </w:r>
          </w:p>
        </w:tc>
        <w:tc>
          <w:p>
            <w:pPr>
              <w:pStyle w:val="Compact"/>
              <w:jc w:val="center"/>
            </w:pPr>
            <w:r>
              <w:t xml:space="preserve">spatial</w:t>
            </w:r>
          </w:p>
        </w:tc>
        <w:tc>
          <w:p>
            <w:pPr>
              <w:pStyle w:val="Compact"/>
              <w:jc w:val="center"/>
            </w:pPr>
            <w:r>
              <w:t xml:space="preserve">linear array of sampled units (quadrats), may be comprehensively or randomly sampled</w:t>
            </w:r>
          </w:p>
        </w:tc>
      </w:tr>
      <w:tr>
        <w:tc>
          <w:p>
            <w:pPr>
              <w:pStyle w:val="Compact"/>
              <w:jc w:val="center"/>
            </w:pPr>
            <w:r>
              <w:t xml:space="preserve">layer</w:t>
            </w:r>
          </w:p>
        </w:tc>
        <w:tc>
          <w:p>
            <w:pPr>
              <w:pStyle w:val="Compact"/>
              <w:jc w:val="center"/>
            </w:pPr>
            <w:r>
              <w:t xml:space="preserve">tissue</w:t>
            </w:r>
          </w:p>
        </w:tc>
        <w:tc>
          <w:p>
            <w:pPr>
              <w:pStyle w:val="Compact"/>
              <w:jc w:val="center"/>
            </w:pPr>
            <w:r>
              <w:t xml:space="preserve">actual tissue sample used to assay single-cell thickness composition</w:t>
            </w:r>
          </w:p>
        </w:tc>
      </w:tr>
      <w:tr>
        <w:tc>
          <w:p>
            <w:pPr>
              <w:pStyle w:val="Compact"/>
              <w:jc w:val="center"/>
            </w:pPr>
            <w:r>
              <w:t xml:space="preserve">section</w:t>
            </w:r>
          </w:p>
        </w:tc>
        <w:tc>
          <w:p/>
        </w:tc>
        <w:tc>
          <w:p>
            <w:pPr>
              <w:pStyle w:val="Compact"/>
              <w:jc w:val="center"/>
            </w:pPr>
            <w:r>
              <w:t xml:space="preserve">10 micron thick tissue sample</w:t>
            </w:r>
          </w:p>
        </w:tc>
      </w:tr>
      <w:tr>
        <w:tc>
          <w:p>
            <w:pPr>
              <w:pStyle w:val="Compact"/>
              <w:jc w:val="center"/>
            </w:pPr>
            <w:r>
              <w:t xml:space="preserve">virtual se</w:t>
            </w:r>
          </w:p>
        </w:tc>
        <w:tc>
          <w:p>
            <w:pPr>
              <w:pStyle w:val="Compact"/>
              <w:jc w:val="center"/>
            </w:pPr>
            <w:r>
              <w:t xml:space="preserve">ction</w:t>
            </w:r>
          </w:p>
        </w:tc>
        <w:tc>
          <w:p>
            <w:pPr>
              <w:pStyle w:val="Compact"/>
              <w:jc w:val="center"/>
            </w:pPr>
            <w:r>
              <w:t xml:space="preserve">3 sections collapsed into 1 section</w:t>
            </w:r>
          </w:p>
        </w:tc>
      </w:tr>
      <w:tr>
        <w:tc>
          <w:p>
            <w:pPr>
              <w:pStyle w:val="Compact"/>
              <w:jc w:val="center"/>
            </w:pPr>
            <w:r>
              <w:t xml:space="preserve">virtual sl</w:t>
            </w:r>
          </w:p>
        </w:tc>
        <w:tc>
          <w:p>
            <w:pPr>
              <w:pStyle w:val="Compact"/>
              <w:jc w:val="center"/>
            </w:pPr>
            <w:r>
              <w:t xml:space="preserve">ice</w:t>
            </w:r>
          </w:p>
        </w:tc>
        <w:tc>
          <w:p>
            <w:pPr>
              <w:pStyle w:val="Compact"/>
              <w:jc w:val="center"/>
            </w:pPr>
            <w:r>
              <w:t xml:space="preserve">3 virtual sections collapsed into 1 section</w:t>
            </w:r>
          </w:p>
        </w:tc>
      </w:tr>
    </w:tbl>
    <w:bookmarkStart w:id="23" w:name="system-and-data-collection"/>
    <w:p>
      <w:pPr>
        <w:pStyle w:val="Heading3"/>
      </w:pPr>
      <w:r>
        <w:t xml:space="preserve">System and Data Collection</w:t>
      </w:r>
    </w:p>
    <w:bookmarkEnd w:id="23"/>
    <w:bookmarkStart w:id="24" w:name="mice"/>
    <w:p>
      <w:pPr>
        <w:pStyle w:val="Heading4"/>
      </w:pPr>
      <w:r>
        <w:t xml:space="preserve">Mice</w:t>
      </w:r>
    </w:p>
    <w:bookmarkEnd w:id="24"/>
    <w:p>
      <w:r>
        <w:t xml:space="preserve">C57BL/6 male mice (N=4) at 5-6 weeks of age were purchased from Jackson Laboratories (Bar Harbor, Maine). Aire knockout (N=2) and WT male (N=2) mice at 5-6 weeks of age were obtained from Dr. Mark Anderson's lab at the University of California, San Francisco.</w:t>
      </w:r>
    </w:p>
    <w:bookmarkStart w:id="25" w:name="tissue-preparation"/>
    <w:p>
      <w:pPr>
        <w:pStyle w:val="Heading4"/>
      </w:pPr>
      <w:r>
        <w:t xml:space="preserve">Tissue Preparation</w:t>
      </w:r>
    </w:p>
    <w:bookmarkEnd w:id="25"/>
    <w:p>
      <w:r>
        <w:t xml:space="preserve">Intact thymuses from the Anderson lab were removed and the right and left lobes were separated, placed in OCT compound, and immediately frozen before being shipped to the Manley lab. Mice thymuses from Jackson Laboratories were dissected and frozen in the Manley lab.</w:t>
      </w:r>
    </w:p>
    <w:bookmarkStart w:id="26" w:name="antibodies"/>
    <w:p>
      <w:pPr>
        <w:pStyle w:val="Heading4"/>
      </w:pPr>
      <w:r>
        <w:t xml:space="preserve">Antibodies</w:t>
      </w:r>
    </w:p>
    <w:bookmarkEnd w:id="26"/>
    <w:p>
      <w:r>
        <w:t xml:space="preserve">Primary antibodies used in this work include the biotinylated hamster CD11c (Cat#, 1:150), rabbit Claudin 3 (Cat#: , 1:150), rabbit Claudin 4 (Cat#: , 1:150), supernatant hamster CD31 (Cat#, 1:50), rat CD25 (Cat#: , 1:50), biotinylated UEA1 (Cat#: , 1:150), conjugated mouse Claudin5 (Cat#: , 1:150), rabbit Keratin5 (Cat#, 1:150), biotin rat Foxp3 (Cat#, 1:50), goat Keratin14 (Cat#, 1:150), goat PDGFRb (Cat#, 1:150), and rat CD205 (Cat#, 1:150). Secondary antibodies were purchased from Invitrogen.</w:t>
      </w:r>
    </w:p>
    <w:bookmarkStart w:id="27" w:name="frozen-sample-preparation"/>
    <w:p>
      <w:pPr>
        <w:pStyle w:val="Heading4"/>
      </w:pPr>
      <w:r>
        <w:t xml:space="preserve">Frozen Sample Preparation</w:t>
      </w:r>
    </w:p>
    <w:bookmarkEnd w:id="27"/>
    <w:p>
      <w:r>
        <w:t xml:space="preserve">The entire left lobe was cut into 10-micron serial sagittal sections using a Leica CM3050 S cryostat. Sections were collected on glass slides and assigned a number corresponding to their location. The middle third of these slides were selected for IHC. Of these middle third, 9 sections from each sample that passed quality control standards were used for IHC. These sections were fixed in -20 degree C acetone for 20 seconds immediately prior to application of blocking solution (10% donkey serum/PBS) for 30 minutes at room temperature.</w:t>
      </w:r>
    </w:p>
    <w:bookmarkStart w:id="28" w:name="ihc"/>
    <w:p>
      <w:pPr>
        <w:pStyle w:val="Heading4"/>
      </w:pPr>
      <w:r>
        <w:t xml:space="preserve">IHC</w:t>
      </w:r>
    </w:p>
    <w:bookmarkEnd w:id="28"/>
    <w:p>
      <w:r>
        <w:t xml:space="preserve">Primary antibodies were mixed in PBS and slides were covered with the antibody solution and incubated/stored overnight at 4C. The slides were rinsed with PBS 2x5 minutes and the secondary antibodies were mixed in PBS (1:800) and applied to the slides for 30 minutes. Slides were rinsed with PBS 2x5 minutes, mounted in FluorGel (EMS) and coverslipped. Marker combinations were determined by availability, biological and technical considerations such as anticipated abundance, distribution of cell types, and reagent compatibility (antibody species of origin).</w:t>
      </w:r>
    </w:p>
    <w:bookmarkStart w:id="29" w:name="microscopy-ptgui-and-cellprofiler"/>
    <w:p>
      <w:pPr>
        <w:pStyle w:val="Heading4"/>
      </w:pPr>
      <w:r>
        <w:t xml:space="preserve">Microscopy, PTGui, and CellProfiler</w:t>
      </w:r>
    </w:p>
    <w:bookmarkEnd w:id="29"/>
    <w:p>
      <w:r>
        <w:t xml:space="preserve">Multiple sections from each sample were used in the analysis (9 sections from each sample from the Anderson Lab; 8 sections from WT2, 6 from WT1). The sections were assessed by specific quality control criteria such as lack of section flaws, clarity of image collection, and signal to noise ratio. Sections that passed the QC measures were imaged at 20x as tiled, overlapping quadrats on the Zeiss microscope and reconstructed using PTGui. The image produced was optimized in Adobe Photoshop to reduce background and increase signal intensity so that cell counts could be taken as quickly and accurately as possible in CellProfiler. The reconstructed image from PTGui was too large to work in CellProfiler, so the size of the image was decreased by taking the image width and dividing by 4. CellProfiler was chosen because it has the capability to quickly and accurately identify cells and output locations (x and y coordinates) in an excel file. Results from the cell counts were manually checked for accuracy and input into R for the spatial analysis. Cell counts from serial sagittal sections stained with different marker combinations were collapsed into a single virtual section. Our experimental appraoch is essentially 2-D. Although the 3-D nature of the stromal network is an important aspect of its functionality [cite], a 2-D picture will provide an informative, if not complete view of the thymus. After all, the qualitative assays currently used are all viewed in 2D sections and are the basis of our current views of thymus organization and function.</w:t>
      </w:r>
    </w:p>
    <w:bookmarkStart w:id="30" w:name="spatial-analysis-with-r"/>
    <w:p>
      <w:pPr>
        <w:pStyle w:val="Heading4"/>
      </w:pPr>
      <w:r>
        <w:t xml:space="preserve">Spatial Analysis with R</w:t>
      </w:r>
    </w:p>
    <w:bookmarkEnd w:id="30"/>
    <w:p>
      <w:r>
        <w:t xml:space="preserve">Files containing the X and Y coordinates from CellProfiler were uploaded into R and reformatted (hist2D) into a community matrix. The K-means function in R's stats package was used to cluster the data according to cell type, abundance, and location. The Bray-Curtis function in the Vegan package was used to calculate the Bray-Curtis dissimilarity index for the different regions produced from K-means clustering. We used the ConnComp function in the SDMTools package to calculate and produce the connected components.</w:t>
      </w:r>
    </w:p>
    <w:p>
      <w:pPr>
        <w:pStyle w:val="SourceCode"/>
      </w:pPr>
      <w:r>
        <w:rPr>
          <w:rStyle w:val="KeywordTok"/>
        </w:rPr>
        <w:t xml:space="preserve">load</w:t>
      </w:r>
      <w:r>
        <w:rPr>
          <w:rStyle w:val="NormalTok"/>
        </w:rPr>
        <w:t xml:space="preserve">(</w:t>
      </w:r>
      <w:r>
        <w:rPr>
          <w:rStyle w:val="StringTok"/>
        </w:rPr>
        <w:t xml:space="preserve">"WT2_150.rdata"</w:t>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"Mutant1_150.rdata"</w:t>
      </w:r>
      <w:r>
        <w:rPr>
          <w:rStyle w:val="NormalTok"/>
        </w:rPr>
        <w:t xml:space="preserve">)</w:t>
      </w:r>
    </w:p>
    <w:p>
      <w:pPr>
        <w:pStyle w:val="SourceCode"/>
      </w:pPr>
      <w:r>
        <w:rPr>
          <w:rStyle w:val="KeywordTok"/>
        </w:rPr>
        <w:t xml:space="preserve">load</w:t>
      </w:r>
      <w:r>
        <w:rPr>
          <w:rStyle w:val="NormalTok"/>
        </w:rPr>
        <w:t xml:space="preserve">(</w:t>
      </w:r>
      <w:r>
        <w:rPr>
          <w:rStyle w:val="StringTok"/>
        </w:rPr>
        <w:t xml:space="preserve">"Mutant2_150.rdata"</w:t>
      </w:r>
      <w:r>
        <w:rPr>
          <w:rStyle w:val="NormalTok"/>
        </w:rPr>
        <w:t xml:space="preserve">)</w:t>
      </w:r>
    </w:p>
    <w:bookmarkStart w:id="31" w:name="identification-of-scale"/>
    <w:p>
      <w:pPr>
        <w:pStyle w:val="Heading3"/>
      </w:pPr>
      <w:r>
        <w:t xml:space="preserve">Identification of Scale</w:t>
      </w:r>
    </w:p>
    <w:bookmarkEnd w:id="31"/>
    <w:p>
      <w:r>
        <w:t xml:space="preserve">As thymic epithelial cells vary in size from X to X', we considered the problem of how to generate sampled regions (quadrats) that contained sufficient information about the local community of cells that these regions could be classified. In other words, we need to have lots of data in each quadrat to have statistical power for clustering; we need lots of quadrats to improve the spatial resolution. We produced a rarefaction curve for the different quadrat sizes and found that quadrat sizes from 0.0005 to 0.0025 mm^2 would provide the best spatial resolution and statistical power.</w:t>
      </w:r>
    </w:p>
    <w:p>
      <w:pPr>
        <w:pStyle w:val="Compact"/>
        <w:numPr>
          <w:numId w:val="2"/>
          <w:ilvl w:val="0"/>
        </w:numPr>
      </w:pPr>
      <w:r>
        <w:t xml:space="preserve">Quadrat Selection and Rarefaction: you need to explain how you did this, and the next chunk can include the code you used to achieve this. That way, our results can include one plot and a brief discussion about the selection of that size quadrat and what it means for inclusion of cell types in a given quadrat</w:t>
      </w:r>
    </w:p>
    <w:p>
      <w:pPr>
        <w:pStyle w:val="SourceCode"/>
      </w:pPr>
      <w:r>
        <w:rPr>
          <w:rStyle w:val="KeywordTok"/>
        </w:rPr>
        <w:t xml:space="preserve">library</w:t>
      </w:r>
      <w:r>
        <w:rPr>
          <w:rStyle w:val="NormalTok"/>
        </w:rPr>
        <w:t xml:space="preserve">(gplots)</w:t>
      </w:r>
    </w:p>
    <w:p>
      <w:pPr>
        <w:pStyle w:val="SourceCode"/>
      </w:pPr>
      <w:r>
        <w:rPr>
          <w:rStyle w:val="VerbatimChar"/>
        </w:rPr>
        <w:t xml:space="preserve">## </w:t>
      </w:r>
      <w:r>
        <w:br w:type="textWrapping"/>
      </w:r>
      <w:r>
        <w:rPr>
          <w:rStyle w:val="VerbatimChar"/>
        </w:rPr>
        <w:t xml:space="preserve">## Attaching package: 'gplots'</w:t>
      </w:r>
      <w:r>
        <w:br w:type="textWrapping"/>
      </w:r>
      <w:r>
        <w:rPr>
          <w:rStyle w:val="VerbatimChar"/>
        </w:rPr>
        <w:t xml:space="preserve">## </w:t>
      </w:r>
      <w:r>
        <w:br w:type="textWrapping"/>
      </w: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heatmap.2</w:t>
      </w:r>
      <w:r>
        <w:rPr>
          <w:rStyle w:val="NormalTok"/>
        </w:rPr>
        <w:t xml:space="preserve">( v2.1_WT1,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cellnote=</w:t>
      </w:r>
      <w:r>
        <w:rPr>
          <w:rStyle w:val="NormalTok"/>
        </w:rPr>
        <w:t xml:space="preserve">v2.1_WT1,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notecol=</w:t>
      </w:r>
      <w:r>
        <w:rPr>
          <w:rStyle w:val="StringTok"/>
        </w:rPr>
        <w:t xml:space="preserve">"black"</w:t>
      </w:r>
      <w:r>
        <w:rPr>
          <w:rStyle w:val="NormalTok"/>
        </w:rPr>
        <w:t xml:space="preserve">, </w:t>
      </w:r>
      <w:r>
        <w:rPr>
          <w:rStyle w:val="DataTypeTok"/>
        </w:rPr>
        <w:t xml:space="preserve">trace=</w:t>
      </w:r>
      <w:r>
        <w:rPr>
          <w:rStyle w:val="StringTok"/>
        </w:rPr>
        <w:t xml:space="preserve">'none'</w:t>
      </w:r>
      <w:r>
        <w:rPr>
          <w:rStyle w:val="NormalTok"/>
        </w:rPr>
        <w:t xml:space="preserve">, </w:t>
      </w:r>
      <w:r>
        <w:rPr>
          <w:rStyle w:val="DataTypeTok"/>
        </w:rPr>
        <w:t xml:space="preserve">key=</w:t>
      </w:r>
      <w:r>
        <w:rPr>
          <w:rStyle w:val="OtherTok"/>
        </w:rPr>
        <w:t xml:space="preserve">FALSE</w:t>
      </w:r>
      <w:r>
        <w:rPr>
          <w:rStyle w:val="NormalTok"/>
        </w:rPr>
        <w:t xml:space="preserve">,</w:t>
      </w:r>
      <w:r>
        <w:rPr>
          <w:rStyle w:val="DataTypeTok"/>
        </w:rPr>
        <w:t xml:space="preserve">lwid =</w:t>
      </w:r>
      <w:r>
        <w:rPr>
          <w:rStyle w:val="NormalTok"/>
        </w:rPr>
        <w:t xml:space="preserve"> </w:t>
      </w:r>
      <w:r>
        <w:rPr>
          <w:rStyle w:val="KeywordTok"/>
        </w:rPr>
        <w:t xml:space="preserve">c</w:t>
      </w:r>
      <w:r>
        <w:rPr>
          <w:rStyle w:val="NormalTok"/>
        </w:rPr>
        <w:t xml:space="preserve">(.</w:t>
      </w:r>
      <w:r>
        <w:rPr>
          <w:rStyle w:val="DecValTok"/>
        </w:rPr>
        <w:t xml:space="preserve">01</w:t>
      </w:r>
      <w:r>
        <w:rPr>
          <w:rStyle w:val="NormalTok"/>
        </w:rPr>
        <w:t xml:space="preserve">,</w:t>
      </w:r>
      <w:r>
        <w:rPr>
          <w:rStyle w:val="FloatTok"/>
        </w:rPr>
        <w:t xml:space="preserve">0.99</w:t>
      </w:r>
      <w:r>
        <w:rPr>
          <w:rStyle w:val="NormalTok"/>
        </w:rPr>
        <w:t xml:space="preserve">),</w:t>
      </w:r>
      <w:r>
        <w:rPr>
          <w:rStyle w:val="DataTypeTok"/>
        </w:rPr>
        <w:t xml:space="preserve">lhei =</w:t>
      </w:r>
      <w:r>
        <w:rPr>
          <w:rStyle w:val="NormalTok"/>
        </w:rPr>
        <w:t xml:space="preserve"> </w:t>
      </w:r>
      <w:r>
        <w:rPr>
          <w:rStyle w:val="KeywordTok"/>
        </w:rPr>
        <w:t xml:space="preserve">c</w:t>
      </w:r>
      <w:r>
        <w:rPr>
          <w:rStyle w:val="NormalTok"/>
        </w:rPr>
        <w:t xml:space="preserve">(.</w:t>
      </w:r>
      <w:r>
        <w:rPr>
          <w:rStyle w:val="DecValTok"/>
        </w:rPr>
        <w:t xml:space="preserve">01</w:t>
      </w:r>
      <w:r>
        <w:rPr>
          <w:rStyle w:val="NormalTok"/>
        </w:rPr>
        <w:t xml:space="preserve">,.</w:t>
      </w:r>
      <w:r>
        <w:rPr>
          <w:rStyle w:val="DecValTok"/>
        </w:rPr>
        <w:t xml:space="preserve">99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margins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p>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barplot</w:t>
      </w:r>
      <w:r>
        <w:rPr>
          <w:rStyle w:val="NormalTok"/>
        </w:rPr>
        <w:t xml:space="preserve">(b1_S2_WT1-b2_S2_WT1,</w:t>
      </w:r>
      <w:r>
        <w:rPr>
          <w:rStyle w:val="DataTypeTok"/>
        </w:rPr>
        <w:t xml:space="preserve">main=</w:t>
      </w:r>
      <w:r>
        <w:rPr>
          <w:rStyle w:val="StringTok"/>
        </w:rPr>
        <w:t xml:space="preserve">"1-2"</w:t>
      </w:r>
      <w:r>
        <w:rPr>
          <w:rStyle w:val="NormalTok"/>
        </w:rPr>
        <w:t xml:space="preserve">)</w:t>
      </w:r>
      <w:r>
        <w:br w:type="textWrapping"/>
      </w:r>
      <w:r>
        <w:rPr>
          <w:rStyle w:val="KeywordTok"/>
        </w:rPr>
        <w:t xml:space="preserve">barplot</w:t>
      </w:r>
      <w:r>
        <w:rPr>
          <w:rStyle w:val="NormalTok"/>
        </w:rPr>
        <w:t xml:space="preserve">(b1_S2_WT1-b3_S2_WT1,</w:t>
      </w:r>
      <w:r>
        <w:rPr>
          <w:rStyle w:val="DataTypeTok"/>
        </w:rPr>
        <w:t xml:space="preserve">main=</w:t>
      </w:r>
      <w:r>
        <w:rPr>
          <w:rStyle w:val="StringTok"/>
        </w:rPr>
        <w:t xml:space="preserve">"1-3"</w:t>
      </w:r>
      <w:r>
        <w:rPr>
          <w:rStyle w:val="NormalTok"/>
        </w:rPr>
        <w:t xml:space="preserve">)</w:t>
      </w:r>
      <w:r>
        <w:br w:type="textWrapping"/>
      </w:r>
      <w:r>
        <w:rPr>
          <w:rStyle w:val="CommentTok"/>
        </w:rPr>
        <w:t xml:space="preserve">#barplot(b1_S2_WT1-b4_S2_WT1,main="1-4")</w:t>
      </w:r>
      <w:r>
        <w:br w:type="textWrapping"/>
      </w:r>
      <w:r>
        <w:rPr>
          <w:rStyle w:val="KeywordTok"/>
        </w:rPr>
        <w:t xml:space="preserve">barplot</w:t>
      </w:r>
      <w:r>
        <w:rPr>
          <w:rStyle w:val="NormalTok"/>
        </w:rPr>
        <w:t xml:space="preserve">(b2_S2_WT1-b3_S2_WT1,</w:t>
      </w:r>
      <w:r>
        <w:rPr>
          <w:rStyle w:val="DataTypeTok"/>
        </w:rPr>
        <w:t xml:space="preserve">main=</w:t>
      </w:r>
      <w:r>
        <w:rPr>
          <w:rStyle w:val="StringTok"/>
        </w:rPr>
        <w:t xml:space="preserve">"2-3"</w:t>
      </w:r>
      <w:r>
        <w:rPr>
          <w:rStyle w:val="NormalTok"/>
        </w:rPr>
        <w:t xml:space="preserve">)</w:t>
      </w:r>
      <w:r>
        <w:br w:type="textWrapping"/>
      </w:r>
      <w:r>
        <w:rPr>
          <w:rStyle w:val="CommentTok"/>
        </w:rPr>
        <w:t xml:space="preserve">#barplot(b2_S2_WT1-b4_S2_WT1,main="2-4")</w:t>
      </w:r>
      <w:r>
        <w:br w:type="textWrapping"/>
      </w:r>
      <w:r>
        <w:rPr>
          <w:rStyle w:val="CommentTok"/>
        </w:rPr>
        <w:t xml:space="preserve">#barplot(b3_S2_WT1-b4_S2_WT1,main="3-4")</w:t>
      </w:r>
    </w:p>
    <w:p>
      <w:r>
        <w:drawing>
          <wp:inline>
            <wp:extent cx="4610100" cy="3695700"/>
            <wp:effectExtent b="0" l="0" r="0" t="0"/>
            <wp:docPr descr="" id="1" name="Picture"/>
            <a:graphic>
              <a:graphicData uri="http://schemas.openxmlformats.org/drawingml/2006/picture">
                <pic:pic>
                  <pic:nvPicPr>
                    <pic:cNvPr descr="Ecology_of_Thymus11_files/figure-docx/unnamed-chunk-5-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bookmarkStart w:id="33" w:name="bray-curtis"/>
    <w:p>
      <w:pPr>
        <w:pStyle w:val="Heading2"/>
      </w:pPr>
      <w:r>
        <w:t xml:space="preserve">Bray Curtis</w:t>
      </w:r>
    </w:p>
    <w:bookmarkEnd w:id="33"/>
    <w:p>
      <w:pPr>
        <w:pStyle w:val="SourceCode"/>
      </w:pPr>
      <w:r>
        <w:rPr>
          <w:rStyle w:val="NormalTok"/>
        </w:rPr>
        <w:t xml:space="preserve">dfWT=</w:t>
      </w:r>
      <w:r>
        <w:rPr>
          <w:rStyle w:val="KeywordTok"/>
        </w:rPr>
        <w:t xml:space="preserve">rbind</w:t>
      </w:r>
      <w:r>
        <w:rPr>
          <w:rStyle w:val="NormalTok"/>
        </w:rPr>
        <w:t xml:space="preserve">(df_S1_WT1,df_S2_WT1, df_S3_WT1, df_S1_WT2, df_S2_WT2, df_S3_WT2)</w:t>
      </w:r>
      <w:r>
        <w:br w:type="textWrapping"/>
      </w:r>
      <w:r>
        <w:rPr>
          <w:rStyle w:val="NormalTok"/>
        </w:rPr>
        <w:t xml:space="preserve">BrayCurtis_WT&lt;-</w:t>
      </w:r>
      <w:r>
        <w:rPr>
          <w:rStyle w:val="KeywordTok"/>
        </w:rPr>
        <w:t xml:space="preserve">vegdist</w:t>
      </w:r>
      <w:r>
        <w:rPr>
          <w:rStyle w:val="NormalTok"/>
        </w:rPr>
        <w:t xml:space="preserve">(dfWT,</w:t>
      </w:r>
      <w:r>
        <w:rPr>
          <w:rStyle w:val="DataTypeTok"/>
        </w:rPr>
        <w:t xml:space="preserve">method=</w:t>
      </w:r>
      <w:r>
        <w:rPr>
          <w:rStyle w:val="StringTok"/>
        </w:rPr>
        <w:t xml:space="preserve">"bray"</w:t>
      </w:r>
      <w:r>
        <w:rPr>
          <w:rStyle w:val="NormalTok"/>
        </w:rPr>
        <w:t xml:space="preserve">)</w:t>
      </w:r>
      <w:r>
        <w:br w:type="textWrapping"/>
      </w:r>
      <w:r>
        <w:rPr>
          <w:rStyle w:val="NormalTok"/>
        </w:rPr>
        <w:t xml:space="preserve">hc_WT&lt;-</w:t>
      </w:r>
      <w:r>
        <w:rPr>
          <w:rStyle w:val="KeywordTok"/>
        </w:rPr>
        <w:t xml:space="preserve">hclust</w:t>
      </w:r>
      <w:r>
        <w:rPr>
          <w:rStyle w:val="NormalTok"/>
        </w:rPr>
        <w:t xml:space="preserve">(BrayCurtis_WT)</w:t>
      </w:r>
      <w:r>
        <w:br w:type="textWrapping"/>
      </w:r>
      <w:r>
        <w:rPr>
          <w:rStyle w:val="KeywordTok"/>
        </w:rPr>
        <w:t xml:space="preserve">plot</w:t>
      </w:r>
      <w:r>
        <w:rPr>
          <w:rStyle w:val="NormalTok"/>
        </w:rPr>
        <w:t xml:space="preserve">(hc_WT)</w:t>
      </w:r>
    </w:p>
    <w:p>
      <w:r>
        <w:drawing>
          <wp:inline>
            <wp:extent cx="4610100" cy="3695700"/>
            <wp:effectExtent b="0" l="0" r="0" t="0"/>
            <wp:docPr descr="" id="1" name="Picture"/>
            <a:graphic>
              <a:graphicData uri="http://schemas.openxmlformats.org/drawingml/2006/picture">
                <pic:pic>
                  <pic:nvPicPr>
                    <pic:cNvPr descr="Ecology_of_Thymus11_files/figure-docx/dendrogram-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dfTOTAL&lt;-</w:t>
      </w:r>
      <w:r>
        <w:rPr>
          <w:rStyle w:val="KeywordTok"/>
        </w:rPr>
        <w:t xml:space="preserve">rbind</w:t>
      </w:r>
      <w:r>
        <w:rPr>
          <w:rStyle w:val="NormalTok"/>
        </w:rPr>
        <w:t xml:space="preserve">(df_S1_WT1,df_S2_WT1, df_S3_WT1, df_S1_WT2, df_S2_WT2, df_S3_WT2, df_S1_WT1,</w:t>
      </w:r>
      <w:r>
        <w:br w:type="textWrapping"/>
      </w:r>
      <w:r>
        <w:rPr>
          <w:rStyle w:val="NormalTok"/>
        </w:rPr>
        <w:t xml:space="preserve">df_S2_WT1, df_S3_WT1, df_S1_Mutant2, df_S2_Mutant2, df_S3_Mutant2)</w:t>
      </w:r>
      <w:r>
        <w:br w:type="textWrapping"/>
      </w:r>
      <w:r>
        <w:rPr>
          <w:rStyle w:val="NormalTok"/>
        </w:rPr>
        <w:t xml:space="preserve">BrayCurtis&lt;-</w:t>
      </w:r>
      <w:r>
        <w:rPr>
          <w:rStyle w:val="KeywordTok"/>
        </w:rPr>
        <w:t xml:space="preserve">vegdist</w:t>
      </w:r>
      <w:r>
        <w:rPr>
          <w:rStyle w:val="NormalTok"/>
        </w:rPr>
        <w:t xml:space="preserve">(dfTOTAL,</w:t>
      </w:r>
      <w:r>
        <w:rPr>
          <w:rStyle w:val="DataTypeTok"/>
        </w:rPr>
        <w:t xml:space="preserve">method=</w:t>
      </w:r>
      <w:r>
        <w:rPr>
          <w:rStyle w:val="StringTok"/>
        </w:rPr>
        <w:t xml:space="preserve">"bray"</w:t>
      </w:r>
      <w:r>
        <w:rPr>
          <w:rStyle w:val="NormalTok"/>
        </w:rPr>
        <w:t xml:space="preserve">)</w:t>
      </w:r>
      <w:r>
        <w:br w:type="textWrapping"/>
      </w:r>
      <w:r>
        <w:rPr>
          <w:rStyle w:val="NormalTok"/>
        </w:rPr>
        <w:t xml:space="preserve">hc&lt;-</w:t>
      </w:r>
      <w:r>
        <w:rPr>
          <w:rStyle w:val="KeywordTok"/>
        </w:rPr>
        <w:t xml:space="preserve">hclust</w:t>
      </w:r>
      <w:r>
        <w:rPr>
          <w:rStyle w:val="NormalTok"/>
        </w:rPr>
        <w:t xml:space="preserve">(BrayCurtis)</w:t>
      </w:r>
      <w:r>
        <w:br w:type="textWrapping"/>
      </w:r>
      <w:r>
        <w:rPr>
          <w:rStyle w:val="KeywordTok"/>
        </w:rPr>
        <w:t xml:space="preserve">plot</w:t>
      </w:r>
      <w:r>
        <w:rPr>
          <w:rStyle w:val="NormalTok"/>
        </w:rPr>
        <w:t xml:space="preserve">(hc)</w:t>
      </w:r>
    </w:p>
    <w:p>
      <w:r>
        <w:drawing>
          <wp:inline>
            <wp:extent cx="4610100" cy="3695700"/>
            <wp:effectExtent b="0" l="0" r="0" t="0"/>
            <wp:docPr descr="" id="1" name="Picture"/>
            <a:graphic>
              <a:graphicData uri="http://schemas.openxmlformats.org/drawingml/2006/picture">
                <pic:pic>
                  <pic:nvPicPr>
                    <pic:cNvPr descr="Ecology_of_Thymus11_files/figure-docx/dendrogram-2.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bookmarkStart w:id="36" w:name="results"/>
    <w:p>
      <w:pPr>
        <w:pStyle w:val="Heading1"/>
      </w:pPr>
      <w:r>
        <w:t xml:space="preserve">Results</w:t>
      </w:r>
    </w:p>
    <w:bookmarkEnd w:id="36"/>
    <w:bookmarkStart w:id="37" w:name="k-means-clustering-reproduces-previously-identified-regions-and-identifies-cryptic-information"/>
    <w:p>
      <w:pPr>
        <w:pStyle w:val="Heading2"/>
      </w:pPr>
      <w:r>
        <w:t xml:space="preserve">K means clustering reproduces previously identified regions and identifies cryptic information</w:t>
      </w:r>
    </w:p>
    <w:bookmarkEnd w:id="37"/>
    <w:p>
      <w:r>
        <w:t xml:space="preserve">We used the K means clustering algorithm to identify geographical clusters of cell types based on compositional similarities and abundance. We used a range of K values to compare to previously identified regions of the thymus and to identify cryptic organization. For example, K=3 reproduced the cortical and medullary regions (as well as the blank space outside the thymus) which was expected since a majority of the antibody markers correspond to cell types specifically located within these regions. We increased K to see if we could reproduce the CMJ or subcapsular region. With K=4, we see formation of the outside of the section, the cortex, and the subdivision of the medulla (which we called medulla 1 (M1) and medulla 1 (M2)), which could either represent the CMJ or a new unidentified functional region. Increasing K further results in clusters forming throughout the medulla and eventually throughout the cortex. At higher K values, we see formation of the subcapsular region. We focused on K=4 for the remainder of the study because we were interested in the formation of 2 clusters (subdivision) in the medullary region. We repeated these steps with a mutant mouse and saw similar cluster formation with respect to cellular composition.</w:t>
      </w:r>
    </w:p>
    <w:p>
      <w:r>
        <w:t xml:space="preserve">Should I mention this? Next, we produced graphs to show us how clusters were forming as well as to help us determine what cell types were driving the clustering. The first graph showed the amount of cells per cell type in each cluster. The second compared the proportions of cells across clusters. Should I mention normalized?</w:t>
      </w:r>
    </w:p>
    <w:bookmarkStart w:id="38" w:name="bray-curtis-identifies-degree-of-dissimilarity"/>
    <w:p>
      <w:pPr>
        <w:pStyle w:val="Heading2"/>
      </w:pPr>
      <w:r>
        <w:t xml:space="preserve">Bray Curtis Identifies Degree of Dissimilarity</w:t>
      </w:r>
    </w:p>
    <w:bookmarkEnd w:id="38"/>
    <w:p>
      <w:r>
        <w:t xml:space="preserve">We used the Bray Curtis Dissimilarity Index to determine the degree of compositional similarity between different regions within a thymus section (K=4), between different sections in the same individual thymus (N=3), and between sections in different thymuses (N=2). Bray Curtis values were arranged into a dendrogram for easier visualization. The clusters produced from Kmeans tended to group together by region (cortex with cortex, etc), with the exception of M1 for our first wild-type sample, which grouped more closely with M2. We will need more samples to determine what this indicates, but the general trend from the results of both K means and Bray Curtis indicate that our wild-type samples are compositionally very similar. We repeated these steps with mutant mice and saw a similar result: the mutant and wild-type clusters/samples both grouped with the regions their clusters corresponded to. This result indicates that, compositionally, mutant and wild-type are not distinct.</w:t>
      </w:r>
    </w:p>
    <w:p>
      <w:r>
        <w:t xml:space="preserve">Compare to ecosystem so that non-organ biologists have something to relate value to.</w:t>
      </w:r>
    </w:p>
    <w:p>
      <w:r>
        <w:t xml:space="preserve">Used to support why we selected under a certain K.</w:t>
      </w:r>
    </w:p>
    <w:p>
      <w:r>
        <w:t xml:space="preserve">Showed that both WT and mutant clusters are compositionally similar.</w:t>
      </w:r>
    </w:p>
    <w:bookmarkStart w:id="39" w:name="connected-component-labeling"/>
    <w:p>
      <w:pPr>
        <w:pStyle w:val="Heading2"/>
      </w:pPr>
      <w:r>
        <w:t xml:space="preserve">Connected Component Labeling</w:t>
      </w:r>
    </w:p>
    <w:bookmarkEnd w:id="39"/>
    <w:p>
      <w:r>
        <w:t xml:space="preserve">Next, we wanted to determine if mutant and wild-type samples differ spatially/have different distributions with respect to the location of the M1 and M2 regions. The results from the K means clustering show that for wild-type mice, M2 is inset in M1, while for mutant mice, M1 and M2 appear to be more adjacent. We used connected component labeling to identify individual cluster components and calculated the centroid of these components. Values betwen clusters for the wild-type thymus were between 2-3 pixels, while the values for the mutant thymus varied between 6-7 pixels (change this to microns).</w:t>
      </w:r>
    </w:p>
    <w:bookmarkStart w:id="40" w:name="discussion"/>
    <w:p>
      <w:pPr>
        <w:pStyle w:val="Heading1"/>
      </w:pPr>
      <w:r>
        <w:t xml:space="preserve">Discussion</w:t>
      </w:r>
    </w:p>
    <w:bookmarkEnd w:id="40"/>
    <w:p>
      <w:r>
        <w:t xml:space="preserve">Our approach is designed to take advantage of the cellular complexity of the thymus to provide a sensitive statistical method to measure organizational changes in organ state. We used immunostaining on sagittal serial sections of a wildtype mouse thymus in order to identify distinct cellular subsets, followed by the use of novel computational approaches to quantitatively identify known and cryptic cellular spatial relationships. These methods are designed to replace the largely descriptive histological and IHC-based analyses currently available in the field, thus providing a more accurate and unbiased view of thymus biogeography.</w:t>
      </w:r>
    </w:p>
    <w:p>
      <w:r>
        <w:t xml:space="preserve">It is critical to understand how general observed patterns compare across individuals of the same age and genotype. One of our goals was to determine whether organization is similar or variable throughout an individual thymus as well as between thymuses. K means clustering provided us the first step in making these comparisons. K means clustering allowed us to test the structure of the thymus in a statistical, as opposed to descriptive, framework that provided support for the number of compositionally distinct thymic regions. Unlike descriptive approaches, K means clustering is automatic and dependent on objective criteria for sorting the functional cell types in a spatially explicit way. First, we used the K means clustering algorithm to locate/identify geographical clusters of cell types based on compositional similarities, position, and abundance. This clustering algorithm generates a posterior probability that any subsample (quadrat) belongs to each of the different k groups, while maximizing the ratio of compositional differences between groups to compositional variation within groups. This approach has previously been successful in delineating distinct cell sub-populations in tissue samples (</w:t>
      </w:r>
      <w:r>
        <w:t xml:space="preserve">Veronika et al. (2009)</w:t>
      </w:r>
      <w:r>
        <w:t xml:space="preserve">,</w:t>
      </w:r>
      <w:r>
        <w:t xml:space="preserve"> </w:t>
      </w:r>
      <w:r>
        <w:t xml:space="preserve">Di Cataldo, Ficarra, and Macii (2009)</w:t>
      </w:r>
      <w:r>
        <w:t xml:space="preserve">). We compared the results to previously identified regions (through descriptive approaches) of the thymus to see if we recreated the same regions or discovered new information. Our results supported previous discussion of the geography of the thymus. For K=3, we reproduced the cortex, medulla, and the empty blank space surrounding the thymus. We then increased K to see if we could produce any functionally relevant information. For K=4, we saw subdivision in the medulla which could either be the CMJ or a new, previously undescribed subregion which could have functional significance. By further increasing K, we began to see further subdivision of the medulla, as well as clustering throughout the cortex. We focused on K=4 for the rest of the analysis in order to further develop our methods. We developed graphs which showed the number of each cell type within each cluster as well as graphs which allowed for comapriosns of cells between clusters. Although these visuals were useful for understanding how the K means clustering was being performed, the goal of this project was to move away from descriptive analyses and more towards statistical values.</w:t>
      </w:r>
    </w:p>
    <w:p>
      <w:r>
        <w:t xml:space="preserve">I don't know about this paragraph either---We then used a range of K values to identify potentially cryptic organization, such as functional microenvironments. The k groups produced are presumably functionally distinct, . Identifying the aggregation characteristics of particular cell types or groups of cell types will allow us to quantify and validate results from the predictive models of thymus "cellular ecology" as described above. To an extent, as K goes up it may be that spatial weighting is important, but we choose to avoid the problems that weighting brings up; it may also be possible that some of the areas defined as K approaches 10+ are legitimate microenvironments and this will be addressed in a later paper.</w:t>
      </w:r>
    </w:p>
    <w:p>
      <w:r>
        <w:t xml:space="preserve">In ecology, the identity and relative abundance of species can be compared across communities using various dissimilarity indicies (</w:t>
      </w:r>
      <w:r>
        <w:t xml:space="preserve">Magurran (2004)</w:t>
      </w:r>
      <w:r>
        <w:t xml:space="preserve">) The Bray Curtis Dissimilarity Index in particular is a well characterized statistical method used to quantify the compositional dissimilarity between two sites, based on counts at each site (</w:t>
      </w:r>
      <w:r>
        <w:t xml:space="preserve">Bray and Curtis (1957)</w:t>
      </w:r>
      <w:r>
        <w:t xml:space="preserve">). We applied Bray Curtis to our samples to determine the degree of dissimilarity between clusters produced from K means (based on cell count) for different regions and sections in the same sample as well as between different samples. We organized the results into a dendrogram and found that clusters which corresponded to similar regions grouped together, which indicated that wild-type thymuses are compositionally similar.</w:t>
      </w:r>
    </w:p>
    <w:p>
      <w:r>
        <w:t xml:space="preserve">Our goal was not only to identify whether groups of 2 or more cell types have similar relative distributions (between regions or within the same regions in different sections/samples), but also to quantify the extent to which mutants or diseased thymuses are significantly less structured than wild-type. We applied the same approaches described above to a mutant mouse thymus in order to determine if there are any detectable organizational differences compared to the wildtype. We selected the Aire knockout Mouse (</w:t>
      </w:r>
      <w:r>
        <w:t xml:space="preserve">Anderson et al. (2002)</w:t>
      </w:r>
      <w:r>
        <w:t xml:space="preserve">) for several reasons. First, the Aire knockout is a well characterized mutant that affects an individual cell population. Null mutations in the Aire gene, which marks a specific subpopulation of mTECs, cause defective negative selection and multi-organ autoimmunity. Analyses of TEC phenotypes have been performed, and there are reports that Aire mutants have defects in mTEC composition and organization. There is debate as to whether mutant mice double in mTEC number, particularly with respect to K14 (</w:t>
      </w:r>
      <w:r>
        <w:t xml:space="preserve">Gillard et al. (2007)</w:t>
      </w:r>
      <w:r>
        <w:t xml:space="preserve">). A recent report has also shown displaced dendritic cells in Aire mutant thymus (</w:t>
      </w:r>
      <w:r>
        <w:t xml:space="preserve">Yano et al. (2008)</w:t>
      </w:r>
      <w:r>
        <w:t xml:space="preserve">,</w:t>
      </w:r>
      <w:r>
        <w:t xml:space="preserve">Lei et al. (2011)</w:t>
      </w:r>
      <w:r>
        <w:t xml:space="preserve">). These results have functional consequences for different models of Aire function as either a regulator of tissue-restricted antigens in the thymus or as a key modulator of mTEC differentiation and mechanistic implications for autoimmunity in these mice. All of these reports point to the need for more robust quantitative methods to evaluate cellular organization. Although we know Aire is functionally important, we are interested in determining the degree to which Aire plays a role in maintaining proper organization of the thymus. The parallel in ecology is removal of a species from a community, which can lead to two distinct outcomes: the relative species abundance may not be affected if species are independently utilizing available resources, or the relative abundance of species may change dramatically, suggesting strong interactions depending on missing components [CITE]. This type of species is known as a keystone species, and its availability has strong implications on the proper functioning and survival of community it belongs to.</w:t>
      </w:r>
    </w:p>
    <w:p>
      <w:r>
        <w:t xml:space="preserve">The results from both the K means clustering algorithm and the Bray Curtis Dissimilarity Index failed to detect any compositional differences between the mutant and wildtype samples. We then checked for organizational differences since there was variation in location of M1 relative to M2. We used Connected Component Labeling (</w:t>
      </w:r>
      <w:r>
        <w:t xml:space="preserve">Dillencourt, Samet, and Tamminen (1992)</w:t>
      </w:r>
      <w:r>
        <w:t xml:space="preserve">) to group connected components within the same clusters together. We were then able to calculate the centroid of each cluster and calculate the distance between clusters of different regions. For the wild-type mouse thymus, we expected the M1 and M2 centroids to overlap since M1 surrounds M2. For the mutant sample, we expected to see a larger distance between the centroids since the M1 and M2 clusters were adjacent to each other.</w:t>
      </w:r>
    </w:p>
    <w:bookmarkStart w:id="41" w:name="future-directions"/>
    <w:p>
      <w:pPr>
        <w:pStyle w:val="Heading1"/>
      </w:pPr>
      <w:r>
        <w:t xml:space="preserve">Future Directions</w:t>
      </w:r>
    </w:p>
    <w:bookmarkEnd w:id="41"/>
    <w:p>
      <w:r>
        <w:t xml:space="preserve">The next step of this project will be to examine how removal of specific cell types from the dataset will alter clustering as well as the ecological indicies. We are also interested in further examining the clusters that appear when K is increased. These clusters may have functional significance (for instance, they could be microenvironments that have not previously been identified). We are also interested in looking at the process of involution, and how the organization differs from that of a WT thymus. We could also look at other mutants as well as other organ systems. The methods developed in this study could also be further modified or developed.</w:t>
      </w:r>
    </w:p>
    <w:bookmarkStart w:id="42" w:name="literature-cited"/>
    <w:p>
      <w:pPr>
        <w:pStyle w:val="Heading1"/>
      </w:pPr>
      <w:r>
        <w:t xml:space="preserve">Literature Cited</w:t>
      </w:r>
    </w:p>
    <w:bookmarkEnd w:id="42"/>
    <w:p>
      <w:r>
        <w:t xml:space="preserve">Anderson, Mark S, Emily S Venanzi, Ludger Klein, Zhibin Chen, Stuart P Berzins, Shannon J Turley, Harald von Boehmer, et al. 2002. “Projection of an Immunological Self Shadow Within the Thymus by the Aire Protein.”</w:t>
      </w:r>
      <w:r>
        <w:t xml:space="preserve"> </w:t>
      </w:r>
      <w:r>
        <w:rPr>
          <w:i/>
        </w:rPr>
        <w:t xml:space="preserve">Science (New York, N.Y.)</w:t>
      </w:r>
      <w:r>
        <w:t xml:space="preserve"> </w:t>
      </w:r>
      <w:r>
        <w:t xml:space="preserve">298 (November): 1395–1401. doi:</w:t>
      </w:r>
      <w:hyperlink r:id="rId43">
        <w:r>
          <w:rPr>
            <w:rStyle w:val="Link"/>
          </w:rPr>
          <w:t xml:space="preserve">10.1126/science.1075958</w:t>
        </w:r>
      </w:hyperlink>
      <w:r>
        <w:t xml:space="preserve">.</w:t>
      </w:r>
    </w:p>
    <w:p>
      <w:r>
        <w:t xml:space="preserve">Angelini, C., A. H. Altieri, B. R. Silliman, and M. D. Bertness. 2011. “Interactions Among Foundation Species and Their Consequences for Community Organization, Biodiversity, and Conservation.” Journal Article.</w:t>
      </w:r>
      <w:r>
        <w:t xml:space="preserve"> </w:t>
      </w:r>
      <w:r>
        <w:rPr>
          <w:i/>
        </w:rPr>
        <w:t xml:space="preserve">Bioscience</w:t>
      </w:r>
      <w:r>
        <w:t xml:space="preserve"> </w:t>
      </w:r>
      <w:r>
        <w:t xml:space="preserve">61 (10): 782–89. doi:</w:t>
      </w:r>
      <w:hyperlink r:id="rId44">
        <w:r>
          <w:rPr>
            <w:rStyle w:val="Link"/>
          </w:rPr>
          <w:t xml:space="preserve">Doi 10.1525/Bio.2011.61.10.8</w:t>
        </w:r>
      </w:hyperlink>
      <w:r>
        <w:t xml:space="preserve">.</w:t>
      </w:r>
      <w:r>
        <w:t xml:space="preserve"> </w:t>
      </w:r>
      <w:hyperlink r:id="rId45">
        <w:r>
          <w:rPr>
            <w:rStyle w:val="Link"/>
          </w:rPr>
          <w:t xml:space="preserve">&lt;Go to ISI&gt;://WOS:000299805400008</w:t>
        </w:r>
      </w:hyperlink>
      <w:r>
        <w:t xml:space="preserve">.</w:t>
      </w:r>
    </w:p>
    <w:p>
      <w:r>
        <w:t xml:space="preserve">Bray, J.R., and J.T. Curtis. 1957. “An Ordination of the Upland Forest Community of Southern Wisconsin.Pdf.”</w:t>
      </w:r>
      <w:r>
        <w:t xml:space="preserve"> </w:t>
      </w:r>
      <w:r>
        <w:rPr>
          <w:i/>
        </w:rPr>
        <w:t xml:space="preserve">Ecology Monographs</w:t>
      </w:r>
      <w:r>
        <w:t xml:space="preserve">. doi:</w:t>
      </w:r>
      <w:hyperlink r:id="rId46">
        <w:r>
          <w:rPr>
            <w:rStyle w:val="Link"/>
          </w:rPr>
          <w:t xml:space="preserve">10.2307/1942268</w:t>
        </w:r>
      </w:hyperlink>
      <w:r>
        <w:t xml:space="preserve">.</w:t>
      </w:r>
    </w:p>
    <w:p>
      <w:r>
        <w:t xml:space="preserve">Di Cataldo, Santa, Elisa Ficarra, and Enrico Macii. 2009. “Automated Discrimination of Pathological Regions in Tissue Images: Unsupervised Clustering Vs. Supervised SVM Classification.” In</w:t>
      </w:r>
      <w:r>
        <w:t xml:space="preserve"> </w:t>
      </w:r>
      <w:r>
        <w:rPr>
          <w:i/>
        </w:rPr>
        <w:t xml:space="preserve">Biomedical Engineering Systems and Technologies</w:t>
      </w:r>
      <w:r>
        <w:t xml:space="preserve">, edited by Ana Fred, Joaquim Filipe, and Hugo Gamboa, 25:344–56. Communications in Computer and Information Science. Springer Berlin Heidelberg. doi:</w:t>
      </w:r>
      <w:hyperlink r:id="rId47">
        <w:r>
          <w:rPr>
            <w:rStyle w:val="Link"/>
          </w:rPr>
          <w:t xml:space="preserve">10.1007/978-3-540-92219-3_26</w:t>
        </w:r>
      </w:hyperlink>
      <w:r>
        <w:t xml:space="preserve">.</w:t>
      </w:r>
      <w:r>
        <w:t xml:space="preserve"> </w:t>
      </w:r>
      <w:hyperlink r:id="rId47">
        <w:r>
          <w:rPr>
            <w:rStyle w:val="Link"/>
          </w:rPr>
          <w:t xml:space="preserve">http://dx.doi.org/10.1007/978-3-540-92219-3_26</w:t>
        </w:r>
      </w:hyperlink>
      <w:r>
        <w:t xml:space="preserve">.</w:t>
      </w:r>
    </w:p>
    <w:p>
      <w:r>
        <w:t xml:space="preserve">Dillencourt, Michael B., Hannan Samet, and Markku Tamminen. 1992. “A General Approach to Connected-Component Labeling for Arbitrary Image Representations.”</w:t>
      </w:r>
      <w:r>
        <w:t xml:space="preserve"> </w:t>
      </w:r>
      <w:r>
        <w:rPr>
          <w:i/>
        </w:rPr>
        <w:t xml:space="preserve">Journal of the ACM</w:t>
      </w:r>
      <w:r>
        <w:t xml:space="preserve"> </w:t>
      </w:r>
      <w:r>
        <w:t xml:space="preserve">39 (2): 253–80. doi:</w:t>
      </w:r>
      <w:hyperlink r:id="rId48">
        <w:r>
          <w:rPr>
            <w:rStyle w:val="Link"/>
          </w:rPr>
          <w:t xml:space="preserve">10.1145/128749.128750</w:t>
        </w:r>
      </w:hyperlink>
      <w:r>
        <w:t xml:space="preserve">.</w:t>
      </w:r>
    </w:p>
    <w:p>
      <w:r>
        <w:t xml:space="preserve">Gillard, Geoffrey O, James Dooley, Matthew Erickson, Leena Peltonen, and Andrew G Farr. 2007. “Aire-Dependent Alterations in Medullary Thymic Epithelium Indicate a Role for Aire in Thymic Epithelial Differentiation.”</w:t>
      </w:r>
      <w:r>
        <w:t xml:space="preserve"> </w:t>
      </w:r>
      <w:r>
        <w:rPr>
          <w:i/>
        </w:rPr>
        <w:t xml:space="preserve">Journal of Immunology (Baltimore, Md. : 1950)</w:t>
      </w:r>
      <w:r>
        <w:t xml:space="preserve"> </w:t>
      </w:r>
      <w:r>
        <w:t xml:space="preserve">178: 3007–15. doi:</w:t>
      </w:r>
      <w:hyperlink r:id="rId49">
        <w:r>
          <w:rPr>
            <w:rStyle w:val="Link"/>
          </w:rPr>
          <w:t xml:space="preserve">10.4049/jimmunol.178.5.3007</w:t>
        </w:r>
      </w:hyperlink>
      <w:r>
        <w:t xml:space="preserve">.</w:t>
      </w:r>
    </w:p>
    <w:p>
      <w:r>
        <w:t xml:space="preserve">Gordon, Julie, and Nancy R Manley. 2011. “Mechanisms of Thymus Organogenesis and Morphogenesis.”</w:t>
      </w:r>
      <w:r>
        <w:t xml:space="preserve"> </w:t>
      </w:r>
      <w:r>
        <w:rPr>
          <w:i/>
        </w:rPr>
        <w:t xml:space="preserve">Development (Cambridge, England)</w:t>
      </w:r>
      <w:r>
        <w:t xml:space="preserve"> </w:t>
      </w:r>
      <w:r>
        <w:t xml:space="preserve">138 (18): 3865–78. doi:</w:t>
      </w:r>
      <w:hyperlink r:id="rId50">
        <w:r>
          <w:rPr>
            <w:rStyle w:val="Link"/>
          </w:rPr>
          <w:t xml:space="preserve">10.1242/dev.059998</w:t>
        </w:r>
      </w:hyperlink>
      <w:r>
        <w:t xml:space="preserve">.</w:t>
      </w:r>
      <w:r>
        <w:t xml:space="preserve"> </w:t>
      </w:r>
      <w:hyperlink r:id="rId51">
        <w:r>
          <w:rPr>
            <w:rStyle w:val="Link"/>
          </w:rPr>
          <w:t xml:space="preserve">http://www.pubmedcentral.nih.gov/articlerender.fcgi?artid=3160085\&amp;tool=pmcentrez\&amp;rendertype=abstract</w:t>
        </w:r>
      </w:hyperlink>
      <w:r>
        <w:t xml:space="preserve">.</w:t>
      </w:r>
    </w:p>
    <w:p>
      <w:r>
        <w:t xml:space="preserve">Hartmann, Dirk, and Takashi Miura. 2007. “Mathematical Analysis of a Free-Boundary Model for Lung Branching Morphogenesis.”</w:t>
      </w:r>
      <w:r>
        <w:t xml:space="preserve"> </w:t>
      </w:r>
      <w:r>
        <w:rPr>
          <w:i/>
        </w:rPr>
        <w:t xml:space="preserve">Mathematical Medicine and Biology</w:t>
      </w:r>
      <w:r>
        <w:t xml:space="preserve"> </w:t>
      </w:r>
      <w:r>
        <w:t xml:space="preserve">24: 209–24. doi:</w:t>
      </w:r>
      <w:hyperlink r:id="rId52">
        <w:r>
          <w:rPr>
            <w:rStyle w:val="Link"/>
          </w:rPr>
          <w:t xml:space="preserve">10.1093/imammb/dql029</w:t>
        </w:r>
      </w:hyperlink>
      <w:r>
        <w:t xml:space="preserve">.</w:t>
      </w:r>
    </w:p>
    <w:p>
      <w:r>
        <w:t xml:space="preserve">Krebs, C.J. 1999.</w:t>
      </w:r>
      <w:r>
        <w:t xml:space="preserve"> </w:t>
      </w:r>
      <w:r>
        <w:rPr>
          <w:i/>
        </w:rPr>
        <w:t xml:space="preserve">Ecological Methodology</w:t>
      </w:r>
      <w:r>
        <w:t xml:space="preserve">. Life Sciences. Benjamin/Cummings.</w:t>
      </w:r>
      <w:r>
        <w:t xml:space="preserve"> </w:t>
      </w:r>
      <w:hyperlink r:id="rId53">
        <w:r>
          <w:rPr>
            <w:rStyle w:val="Link"/>
          </w:rPr>
          <w:t xml:space="preserve">http://books.google.com/books?id=1GwVAQAAIAAJ</w:t>
        </w:r>
      </w:hyperlink>
      <w:r>
        <w:t xml:space="preserve">.</w:t>
      </w:r>
    </w:p>
    <w:p>
      <w:r>
        <w:t xml:space="preserve">Lei, Yu, Adiratna Mat Ripen, Naozumi Ishimaru, Izumi Ohigashi, Takashi Nagasawa, Lukas T Jeker, Michael R Bösl, et al. 2011. “Aire-Dependent Production of XCL1 Mediates Medullary Accumulation of Thymic Dendritic Cells and Contributes to Regulatory T Cell Development.”</w:t>
      </w:r>
      <w:r>
        <w:t xml:space="preserve"> </w:t>
      </w:r>
      <w:r>
        <w:rPr>
          <w:i/>
        </w:rPr>
        <w:t xml:space="preserve">The Journal of Experimental Medicine</w:t>
      </w:r>
      <w:r>
        <w:t xml:space="preserve"> </w:t>
      </w:r>
      <w:r>
        <w:t xml:space="preserve">208 (2): 383–94. doi:</w:t>
      </w:r>
      <w:hyperlink r:id="rId54">
        <w:r>
          <w:rPr>
            <w:rStyle w:val="Link"/>
          </w:rPr>
          <w:t xml:space="preserve">10.1084/jem.20102327</w:t>
        </w:r>
      </w:hyperlink>
      <w:r>
        <w:t xml:space="preserve">.</w:t>
      </w:r>
    </w:p>
    <w:p>
      <w:r>
        <w:t xml:space="preserve">Magurran, A.E. 2004.</w:t>
      </w:r>
      <w:r>
        <w:t xml:space="preserve"> </w:t>
      </w:r>
      <w:r>
        <w:rPr>
          <w:i/>
        </w:rPr>
        <w:t xml:space="preserve">Measuring Biological Diversity</w:t>
      </w:r>
      <w:r>
        <w:t xml:space="preserve">. Wiley.</w:t>
      </w:r>
      <w:r>
        <w:t xml:space="preserve"> </w:t>
      </w:r>
      <w:hyperlink r:id="rId55">
        <w:r>
          <w:rPr>
            <w:rStyle w:val="Link"/>
          </w:rPr>
          <w:t xml:space="preserve">http://books.google.com/books?id=tUqzLSUzXxcC</w:t>
        </w:r>
      </w:hyperlink>
      <w:r>
        <w:t xml:space="preserve">.</w:t>
      </w:r>
    </w:p>
    <w:p>
      <w:r>
        <w:t xml:space="preserve">Miura, Takashi. 2008. “Modeling Lung Branching Morphogenesis.”</w:t>
      </w:r>
      <w:r>
        <w:t xml:space="preserve"> </w:t>
      </w:r>
      <w:r>
        <w:rPr>
          <w:i/>
        </w:rPr>
        <w:t xml:space="preserve">Current Topics in Developmental Biology</w:t>
      </w:r>
      <w:r>
        <w:t xml:space="preserve"> </w:t>
      </w:r>
      <w:r>
        <w:t xml:space="preserve">81 (07): 291–310. doi:</w:t>
      </w:r>
      <w:hyperlink r:id="rId56">
        <w:r>
          <w:rPr>
            <w:rStyle w:val="Link"/>
          </w:rPr>
          <w:t xml:space="preserve">10.1016/S0070-2153(07)81010-6</w:t>
        </w:r>
      </w:hyperlink>
      <w:r>
        <w:t xml:space="preserve">.</w:t>
      </w:r>
    </w:p>
    <w:p>
      <w:r>
        <w:t xml:space="preserve">Oates, a. C., L. G. Morelli, and S. Ares. 2012. “Patterning Embryos with Oscillations: structure, Function and Dynamics of the Vertebrate Segmentation Clock.”</w:t>
      </w:r>
      <w:r>
        <w:t xml:space="preserve"> </w:t>
      </w:r>
      <w:r>
        <w:rPr>
          <w:i/>
        </w:rPr>
        <w:t xml:space="preserve">Development</w:t>
      </w:r>
      <w:r>
        <w:t xml:space="preserve"> </w:t>
      </w:r>
      <w:r>
        <w:t xml:space="preserve">139: 625–39. doi:</w:t>
      </w:r>
      <w:hyperlink r:id="rId57">
        <w:r>
          <w:rPr>
            <w:rStyle w:val="Link"/>
          </w:rPr>
          <w:t xml:space="preserve">10.1242/dev.063735</w:t>
        </w:r>
      </w:hyperlink>
      <w:r>
        <w:t xml:space="preserve">.</w:t>
      </w:r>
    </w:p>
    <w:p>
      <w:r>
        <w:t xml:space="preserve">Verberk, W. 2011. “Explaining General Patterns in Species Abundance and Distributions.” Journal Article.</w:t>
      </w:r>
      <w:r>
        <w:t xml:space="preserve"> </w:t>
      </w:r>
      <w:r>
        <w:rPr>
          <w:i/>
        </w:rPr>
        <w:t xml:space="preserve">Nature Education Knowledge</w:t>
      </w:r>
      <w:r>
        <w:t xml:space="preserve"> </w:t>
      </w:r>
      <w:r>
        <w:t xml:space="preserve">3: 38.</w:t>
      </w:r>
    </w:p>
    <w:p>
      <w:r>
        <w:t xml:space="preserve">Veronika, Merlin, James Evans, Paul Matsudaira, Roy Welsch, and Jagath Rajapakse. 2009. “Sub-Population Analysis Based on Temporal Features of High Content Images.”</w:t>
      </w:r>
      <w:r>
        <w:t xml:space="preserve"> </w:t>
      </w:r>
      <w:r>
        <w:rPr>
          <w:i/>
        </w:rPr>
        <w:t xml:space="preserve">BMC Bioinformatics</w:t>
      </w:r>
      <w:r>
        <w:t xml:space="preserve"> </w:t>
      </w:r>
      <w:r>
        <w:t xml:space="preserve">10 Suppl 15: S4. doi:</w:t>
      </w:r>
      <w:hyperlink r:id="rId58">
        <w:r>
          <w:rPr>
            <w:rStyle w:val="Link"/>
          </w:rPr>
          <w:t xml:space="preserve">10.1186/1471-2105-10-S15-S4</w:t>
        </w:r>
      </w:hyperlink>
      <w:r>
        <w:t xml:space="preserve">.</w:t>
      </w:r>
    </w:p>
    <w:p>
      <w:r>
        <w:t xml:space="preserve">Wootton, J. T. 2005. “Field Parameterization and Experimental Test of the Neutral Theory of Biodiversity.” Journal Article.</w:t>
      </w:r>
      <w:r>
        <w:t xml:space="preserve"> </w:t>
      </w:r>
      <w:r>
        <w:rPr>
          <w:i/>
        </w:rPr>
        <w:t xml:space="preserve">Nature</w:t>
      </w:r>
      <w:r>
        <w:t xml:space="preserve"> </w:t>
      </w:r>
      <w:r>
        <w:t xml:space="preserve">433: 309–11.</w:t>
      </w:r>
    </w:p>
    <w:p>
      <w:r>
        <w:t xml:space="preserve">Yano, Masashi, Noriyuki Kuroda, Hongwei Han, Makiko Meguro-Horike, Yumiko Nishikawa, Hiroshi Kiyonari, Kentaro Maemura, et al. 2008. “Aire Controls the Differentiation Program of Thymic Epithelial Cells in the Medulla for the Establishment of Self-Tolerance.”</w:t>
      </w:r>
      <w:r>
        <w:t xml:space="preserve"> </w:t>
      </w:r>
      <w:r>
        <w:rPr>
          <w:i/>
        </w:rPr>
        <w:t xml:space="preserve">The Journal of Experimental Medicine</w:t>
      </w:r>
      <w:r>
        <w:t xml:space="preserve"> </w:t>
      </w:r>
      <w:r>
        <w:t xml:space="preserve">205: 2827–38. doi:</w:t>
      </w:r>
      <w:hyperlink r:id="rId59">
        <w:r>
          <w:rPr>
            <w:rStyle w:val="Link"/>
          </w:rPr>
          <w:t xml:space="preserve">10.1084/jem.20080046</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356cf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694f212"/>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45" Target="&lt;Go to ISI&gt;://WOS:000299805400008" TargetMode="External" /><Relationship Type="http://schemas.openxmlformats.org/officeDocument/2006/relationships/hyperlink" Id="rId53" Target="http://books.google.com/books?id=1GwVAQAAIAAJ" TargetMode="External" /><Relationship Type="http://schemas.openxmlformats.org/officeDocument/2006/relationships/hyperlink" Id="rId55" Target="http://books.google.com/books?id=tUqzLSUzXxcC" TargetMode="External" /><Relationship Type="http://schemas.openxmlformats.org/officeDocument/2006/relationships/hyperlink" Id="rId47" Target="http://dx.doi.org/10.1007/978-3-540-92219-3_26" TargetMode="External" /><Relationship Type="http://schemas.openxmlformats.org/officeDocument/2006/relationships/hyperlink" Id="rId56" Target="http://dx.doi.org/10.1016/S0070-2153(07)81010-6" TargetMode="External" /><Relationship Type="http://schemas.openxmlformats.org/officeDocument/2006/relationships/hyperlink" Id="rId59" Target="http://dx.doi.org/10.1084/jem.20080046" TargetMode="External" /><Relationship Type="http://schemas.openxmlformats.org/officeDocument/2006/relationships/hyperlink" Id="rId54" Target="http://dx.doi.org/10.1084/jem.20102327" TargetMode="External" /><Relationship Type="http://schemas.openxmlformats.org/officeDocument/2006/relationships/hyperlink" Id="rId52" Target="http://dx.doi.org/10.1093/imammb/dql029" TargetMode="External" /><Relationship Type="http://schemas.openxmlformats.org/officeDocument/2006/relationships/hyperlink" Id="rId43" Target="http://dx.doi.org/10.1126/science.1075958" TargetMode="External" /><Relationship Type="http://schemas.openxmlformats.org/officeDocument/2006/relationships/hyperlink" Id="rId48" Target="http://dx.doi.org/10.1145/128749.128750" TargetMode="External" /><Relationship Type="http://schemas.openxmlformats.org/officeDocument/2006/relationships/hyperlink" Id="rId58" Target="http://dx.doi.org/10.1186/1471-2105-10-S15-S4" TargetMode="External" /><Relationship Type="http://schemas.openxmlformats.org/officeDocument/2006/relationships/hyperlink" Id="rId50" Target="http://dx.doi.org/10.1242/dev.059998" TargetMode="External" /><Relationship Type="http://schemas.openxmlformats.org/officeDocument/2006/relationships/hyperlink" Id="rId57" Target="http://dx.doi.org/10.1242/dev.063735" TargetMode="External" /><Relationship Type="http://schemas.openxmlformats.org/officeDocument/2006/relationships/hyperlink" Id="rId46" Target="http://dx.doi.org/10.2307/1942268" TargetMode="External" /><Relationship Type="http://schemas.openxmlformats.org/officeDocument/2006/relationships/hyperlink" Id="rId49" Target="http://dx.doi.org/10.4049/jimmunol.178.5.3007" TargetMode="External" /><Relationship Type="http://schemas.openxmlformats.org/officeDocument/2006/relationships/hyperlink" Id="rId44" Target="http://dx.doi.org/Doi 10.1525/Bio.2011.61.10.8" TargetMode="External" /><Relationship Type="http://schemas.openxmlformats.org/officeDocument/2006/relationships/hyperlink" Id="rId51" Target="http://www.pubmedcentral.nih.gov/articlerender.fcgi?artid=3160085\&amp;tool=pmcentrez\&amp;rendertype=abstract" TargetMode="External" /></Relationships>
</file>

<file path=word/_rels/footnotes.xml.rels><?xml version="1.0" encoding="UTF-8"?>
<Relationships xmlns="http://schemas.openxmlformats.org/package/2006/relationships"><Relationship Type="http://schemas.openxmlformats.org/officeDocument/2006/relationships/hyperlink" Id="rId45" Target="&lt;Go to ISI&gt;://WOS:000299805400008" TargetMode="External" /><Relationship Type="http://schemas.openxmlformats.org/officeDocument/2006/relationships/hyperlink" Id="rId53" Target="http://books.google.com/books?id=1GwVAQAAIAAJ" TargetMode="External" /><Relationship Type="http://schemas.openxmlformats.org/officeDocument/2006/relationships/hyperlink" Id="rId55" Target="http://books.google.com/books?id=tUqzLSUzXxcC" TargetMode="External" /><Relationship Type="http://schemas.openxmlformats.org/officeDocument/2006/relationships/hyperlink" Id="rId47" Target="http://dx.doi.org/10.1007/978-3-540-92219-3_26" TargetMode="External" /><Relationship Type="http://schemas.openxmlformats.org/officeDocument/2006/relationships/hyperlink" Id="rId56" Target="http://dx.doi.org/10.1016/S0070-2153(07)81010-6" TargetMode="External" /><Relationship Type="http://schemas.openxmlformats.org/officeDocument/2006/relationships/hyperlink" Id="rId59" Target="http://dx.doi.org/10.1084/jem.20080046" TargetMode="External" /><Relationship Type="http://schemas.openxmlformats.org/officeDocument/2006/relationships/hyperlink" Id="rId54" Target="http://dx.doi.org/10.1084/jem.20102327" TargetMode="External" /><Relationship Type="http://schemas.openxmlformats.org/officeDocument/2006/relationships/hyperlink" Id="rId52" Target="http://dx.doi.org/10.1093/imammb/dql029" TargetMode="External" /><Relationship Type="http://schemas.openxmlformats.org/officeDocument/2006/relationships/hyperlink" Id="rId43" Target="http://dx.doi.org/10.1126/science.1075958" TargetMode="External" /><Relationship Type="http://schemas.openxmlformats.org/officeDocument/2006/relationships/hyperlink" Id="rId48" Target="http://dx.doi.org/10.1145/128749.128750" TargetMode="External" /><Relationship Type="http://schemas.openxmlformats.org/officeDocument/2006/relationships/hyperlink" Id="rId58" Target="http://dx.doi.org/10.1186/1471-2105-10-S15-S4" TargetMode="External" /><Relationship Type="http://schemas.openxmlformats.org/officeDocument/2006/relationships/hyperlink" Id="rId50" Target="http://dx.doi.org/10.1242/dev.059998" TargetMode="External" /><Relationship Type="http://schemas.openxmlformats.org/officeDocument/2006/relationships/hyperlink" Id="rId57" Target="http://dx.doi.org/10.1242/dev.063735" TargetMode="External" /><Relationship Type="http://schemas.openxmlformats.org/officeDocument/2006/relationships/hyperlink" Id="rId46" Target="http://dx.doi.org/10.2307/1942268" TargetMode="External" /><Relationship Type="http://schemas.openxmlformats.org/officeDocument/2006/relationships/hyperlink" Id="rId49" Target="http://dx.doi.org/10.4049/jimmunol.178.5.3007" TargetMode="External" /><Relationship Type="http://schemas.openxmlformats.org/officeDocument/2006/relationships/hyperlink" Id="rId44" Target="http://dx.doi.org/Doi 10.1525/Bio.2011.61.10.8" TargetMode="External" /><Relationship Type="http://schemas.openxmlformats.org/officeDocument/2006/relationships/hyperlink" Id="rId51" Target="http://www.pubmedcentral.nih.gov/articlerender.fcgi?artid=3160085\&amp;tool=pmcentrez\&amp;rendertype=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Cellular Ecology of the Mouse Thymus</dc:title>
  <dc:creator>Mary Browning, John Wares, Andrew Park, Nancy Manley</dc:creator>
</cp:coreProperties>
</file>