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12" w:rsidRDefault="009933B0">
      <w:pPr>
        <w:jc w:val="center"/>
        <w:rPr>
          <w:b/>
          <w:sz w:val="36"/>
        </w:rPr>
      </w:pPr>
      <w:r>
        <w:rPr>
          <w:b/>
          <w:sz w:val="40"/>
        </w:rPr>
        <w:t>SSU Mission File Description</w:t>
      </w:r>
    </w:p>
    <w:p w:rsidR="00835D12" w:rsidRDefault="00835D12"/>
    <w:p w:rsidR="00835D12" w:rsidRDefault="00835D12"/>
    <w:p w:rsidR="00835D12" w:rsidRDefault="009933B0">
      <w:pPr>
        <w:rPr>
          <w:b/>
        </w:rPr>
      </w:pPr>
      <w:r>
        <w:rPr>
          <w:b/>
          <w:sz w:val="28"/>
        </w:rPr>
        <w:t>Introduction</w:t>
      </w:r>
    </w:p>
    <w:p w:rsidR="00835D12" w:rsidRDefault="00835D12"/>
    <w:p w:rsidR="006468F6" w:rsidRDefault="009933B0">
      <w:pPr>
        <w:ind w:firstLine="720"/>
      </w:pPr>
      <w:r>
        <w:t xml:space="preserve">Space Shuttle Ultra uses the mission file to specify several </w:t>
      </w:r>
      <w:r w:rsidR="00C73EE7">
        <w:t>parameters</w:t>
      </w:r>
      <w:r>
        <w:t xml:space="preserve"> about the vehicle and the mission. Mission files are declared in the scenario file with the entry “MISSION” </w:t>
      </w:r>
      <w:r w:rsidR="006468F6">
        <w:t xml:space="preserve">followed by the name of the mission file, </w:t>
      </w:r>
      <w:r>
        <w:t>and must be placed in the directory “&lt;orbit</w:t>
      </w:r>
      <w:r w:rsidR="006468F6">
        <w:t>er_installation&gt;\Missions\SSU”.</w:t>
      </w:r>
    </w:p>
    <w:p w:rsidR="00835D12" w:rsidRDefault="006468F6">
      <w:pPr>
        <w:ind w:firstLine="720"/>
      </w:pPr>
      <w:r>
        <w:t>Parameter values</w:t>
      </w:r>
      <w:r w:rsidR="009933B0">
        <w:t xml:space="preserve"> are specified by having the </w:t>
      </w:r>
      <w:r>
        <w:t>parameter</w:t>
      </w:r>
      <w:r w:rsidR="009933B0">
        <w:t xml:space="preserve"> name, followed by th</w:t>
      </w:r>
      <w:r>
        <w:t>e equal sign and then the</w:t>
      </w:r>
      <w:r w:rsidR="009933B0">
        <w:t xml:space="preserve"> value. </w:t>
      </w:r>
      <w:r>
        <w:t xml:space="preserve">Parameters not specified in the mission file will use a hardcoded default value. </w:t>
      </w:r>
      <w:r w:rsidR="009933B0">
        <w:t>Here’s an example mission file for simulation of mission STS-107:</w:t>
      </w:r>
    </w:p>
    <w:p w:rsidR="00835D12" w:rsidRDefault="00835D12">
      <w:pPr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</w:tblGrid>
      <w:tr w:rsidR="006468F6" w:rsidTr="006468F6">
        <w:trPr>
          <w:jc w:val="center"/>
        </w:trPr>
        <w:tc>
          <w:tcPr>
            <w:tcW w:w="0" w:type="auto"/>
          </w:tcPr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Name=STS-107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Orbiter=Columbia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OrbiterTexture=Columbia_8thmod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TargetInc=39.000000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TargetLAN=0.000000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MECOAlt=105000.000000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MECOVel=7864.3277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MECOFPA=0.75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UseExtAL=FALSE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UseRMS=FALSE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UseODS=FALSE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PerformRollToHeadsUp=TRUE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OMSAssistEnable=true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OMSAssistDuration=102.000000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ThrottleDown=843.333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ThrottleUp=1154.266</w:t>
            </w:r>
          </w:p>
          <w:p w:rsidR="006468F6" w:rsidRPr="006468F6" w:rsidRDefault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SILTS=TRUE</w:t>
            </w:r>
          </w:p>
        </w:tc>
      </w:tr>
    </w:tbl>
    <w:p w:rsidR="006468F6" w:rsidRDefault="006468F6" w:rsidP="006468F6"/>
    <w:p w:rsidR="00C73EE7" w:rsidRDefault="00C73EE7" w:rsidP="00C73EE7">
      <w:pPr>
        <w:ind w:firstLine="720"/>
      </w:pPr>
      <w:r>
        <w:t>The SSU installation already has some mission files for the included scenarios</w:t>
      </w:r>
      <w:r w:rsidR="006468F6">
        <w:t>.</w:t>
      </w:r>
    </w:p>
    <w:p w:rsidR="00C73EE7" w:rsidRDefault="00C73EE7"/>
    <w:p w:rsidR="006468F6" w:rsidRDefault="006468F6"/>
    <w:p w:rsidR="00C73EE7" w:rsidRDefault="00C73EE7" w:rsidP="00C73EE7">
      <w:r>
        <w:t>The next page contains a description of all available options.</w:t>
      </w:r>
    </w:p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835D12" w:rsidRDefault="00835D12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6468F6" w:rsidRDefault="006468F6"/>
    <w:p w:rsidR="006468F6" w:rsidRDefault="006468F6"/>
    <w:p w:rsidR="006468F6" w:rsidRDefault="006468F6"/>
    <w:p w:rsidR="006468F6" w:rsidRDefault="006468F6"/>
    <w:p w:rsidR="00C73EE7" w:rsidRDefault="00C73EE7"/>
    <w:p w:rsidR="00C73EE7" w:rsidRDefault="00C73EE7"/>
    <w:p w:rsidR="00C73EE7" w:rsidRDefault="00C73EE7"/>
    <w:tbl>
      <w:tblPr>
        <w:tblStyle w:val="TableGrid"/>
        <w:tblW w:w="9042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1"/>
        <w:gridCol w:w="851"/>
        <w:gridCol w:w="5244"/>
        <w:gridCol w:w="1096"/>
      </w:tblGrid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Option Name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Type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Description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Default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Name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Mission name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D213F" w:rsidRDefault="009933B0" w:rsidP="000C4B6C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 name</w:t>
            </w:r>
            <w:r w:rsidR="008D213F">
              <w:rPr>
                <w:sz w:val="16"/>
                <w:szCs w:val="18"/>
              </w:rPr>
              <w:t xml:space="preserve"> (also determines orbiter vehicle empty mass),</w:t>
            </w:r>
            <w:r w:rsidR="000C4B6C">
              <w:rPr>
                <w:sz w:val="16"/>
                <w:szCs w:val="18"/>
              </w:rPr>
              <w:t xml:space="preserve"> </w:t>
            </w:r>
            <w:r w:rsidR="008D213F">
              <w:rPr>
                <w:sz w:val="16"/>
                <w:szCs w:val="18"/>
              </w:rPr>
              <w:t xml:space="preserve">valid values: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Columbia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Challenger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>,</w:t>
            </w:r>
            <w:r w:rsidR="000C4B6C">
              <w:rPr>
                <w:sz w:val="16"/>
                <w:szCs w:val="18"/>
              </w:rPr>
              <w:t xml:space="preserve"> ”</w:t>
            </w:r>
            <w:r w:rsidR="008D213F">
              <w:rPr>
                <w:sz w:val="16"/>
                <w:szCs w:val="18"/>
              </w:rPr>
              <w:t>Discovery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Atlantis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Endeavour</w:t>
            </w:r>
            <w:r w:rsidR="000C4B6C">
              <w:rPr>
                <w:sz w:val="16"/>
                <w:szCs w:val="18"/>
              </w:rPr>
              <w:t>”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D213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Atlantis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OrbiterTexture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Filename of the texture to be used in the orbiter mesh</w:t>
            </w:r>
            <w:r w:rsidR="00C73EE7">
              <w:rPr>
                <w:sz w:val="16"/>
                <w:szCs w:val="18"/>
              </w:rPr>
              <w:t>, default SSU textures:</w:t>
            </w:r>
          </w:p>
          <w:p w:rsidR="00C73EE7" w:rsidRDefault="00C73EE7" w:rsidP="00C73EE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“</w:t>
            </w:r>
            <w:r w:rsidRPr="00C73EE7">
              <w:rPr>
                <w:sz w:val="16"/>
                <w:szCs w:val="18"/>
              </w:rPr>
              <w:t>Columbia_original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Columbia_8thmod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Challenger_original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Challenger_3rdmod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Discovery_original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Discovery_9thmod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Atlantis_original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Atlantis_5thmod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Endeavour_original</w:t>
            </w:r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Endeavour_3rdmod</w:t>
            </w:r>
            <w:r>
              <w:rPr>
                <w:sz w:val="16"/>
                <w:szCs w:val="18"/>
              </w:rPr>
              <w:t>”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TargetInc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inclination for MECO (deg)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28.5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MECOAlt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altitude for MECO (m)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105000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MECOVel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velocity for MECO (m/s)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7869.635088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MECOFPA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flight path angle for MECO (deg)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0.747083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PerformRollToHeadsUp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Roll to heads up is performed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OMSAssistEnable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 assist burn is performed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463D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  <w:bookmarkStart w:id="0" w:name="_GoBack"/>
            <w:bookmarkEnd w:id="0"/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OMSAssistDuration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OMS assist burn duration (seconds)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102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MaxSSMEThrust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Maximum SSME throttles commanded by GPC (%)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104.5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ThrottleDown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1º stage SSME throttle down velocity (fps)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792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ThrottleUp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1º stage SSME throttle up velocity (fps)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1304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UseRMS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RMS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UseKUBand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KU-Band antenna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UseSTBDMPM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Starboard MPMs are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UseODS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ODS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UseExtAL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external airlock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HasBulkheadFloodlights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 if the FWD bulkhead floodlight and docking lights are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HasDragChute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drag chute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Bridgerails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Comma-separated numbers</w:t>
            </w:r>
          </w:p>
        </w:tc>
        <w:tc>
          <w:tcPr>
            <w:tcW w:w="524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Comma-separated list of numbers indicating which bridgerails are present. Each number in list should be between 0 and 12 inclusive.</w:t>
            </w:r>
          </w:p>
        </w:tc>
        <w:tc>
          <w:tcPr>
            <w:tcW w:w="109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PayloadZPos</w:t>
            </w:r>
            <w:r w:rsidR="008D213F">
              <w:rPr>
                <w:sz w:val="16"/>
                <w:szCs w:val="18"/>
              </w:rPr>
              <w:t>&lt;</w:t>
            </w:r>
            <w:r>
              <w:rPr>
                <w:sz w:val="16"/>
                <w:szCs w:val="18"/>
              </w:rPr>
              <w:t>N</w:t>
            </w:r>
            <w:r w:rsidR="008D213F">
              <w:rPr>
                <w:sz w:val="16"/>
                <w:szCs w:val="18"/>
              </w:rPr>
              <w:t>&gt;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The Z coordinate (in the Orbitersim frame) of payload attachment point N.</w:t>
            </w:r>
          </w:p>
          <w:p w:rsidR="00835D12" w:rsidRDefault="009933B0">
            <w:r>
              <w:rPr>
                <w:sz w:val="16"/>
                <w:szCs w:val="18"/>
              </w:rPr>
              <w:t>N = 0-2     – Centerline active attachment</w:t>
            </w:r>
          </w:p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 = 3-5     – Centerline passive attachment</w:t>
            </w:r>
          </w:p>
          <w:p w:rsidR="00835D12" w:rsidRDefault="009933B0">
            <w:r>
              <w:rPr>
                <w:sz w:val="16"/>
                <w:szCs w:val="18"/>
              </w:rPr>
              <w:t>N = 6-9     – Port attachment</w:t>
            </w:r>
          </w:p>
          <w:p w:rsidR="00835D12" w:rsidRDefault="009933B0">
            <w:r>
              <w:rPr>
                <w:sz w:val="16"/>
                <w:szCs w:val="18"/>
              </w:rPr>
              <w:t>N = 10-13 – Starboard attachment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ODSZPos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The Z coordinate (in the Orbitersim frame) of the ODS or External airlock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8.25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 pod (OV-102 only)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LogSSMEData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Enables SSME data logging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</w:tbl>
    <w:p w:rsidR="00835D12" w:rsidRDefault="00835D12" w:rsidP="006937B1"/>
    <w:sectPr w:rsidR="00835D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363" w:rsidRDefault="007F0363">
      <w:r>
        <w:separator/>
      </w:r>
    </w:p>
  </w:endnote>
  <w:endnote w:type="continuationSeparator" w:id="0">
    <w:p w:rsidR="007F0363" w:rsidRDefault="007F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2" w:rsidRDefault="00835D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363" w:rsidRDefault="007F0363">
      <w:r>
        <w:separator/>
      </w:r>
    </w:p>
  </w:footnote>
  <w:footnote w:type="continuationSeparator" w:id="0">
    <w:p w:rsidR="007F0363" w:rsidRDefault="007F0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2" w:rsidRDefault="00835D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12"/>
    <w:rsid w:val="000C4B6C"/>
    <w:rsid w:val="006468F6"/>
    <w:rsid w:val="006937B1"/>
    <w:rsid w:val="007F0363"/>
    <w:rsid w:val="00835D12"/>
    <w:rsid w:val="008463D4"/>
    <w:rsid w:val="008D213F"/>
    <w:rsid w:val="009933B0"/>
    <w:rsid w:val="00C73EE7"/>
    <w:rsid w:val="00D6273F"/>
    <w:rsid w:val="00D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pPr>
      <w:suppressAutoHyphens/>
    </w:pPr>
    <w:rPr>
      <w:rFonts w:ascii="Times New Roman" w:eastAsia="Calibri" w:hAnsi="Times New Roman" w:cstheme="minorBidi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A38B9"/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pPr>
      <w:suppressAutoHyphens/>
    </w:pPr>
    <w:rPr>
      <w:rFonts w:ascii="Times New Roman" w:eastAsia="Calibri" w:hAnsi="Times New Roman" w:cstheme="minorBidi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A38B9"/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2015-03-06T21:45:00Z</dcterms:created>
  <dcterms:modified xsi:type="dcterms:W3CDTF">2015-03-15T14:20:00Z</dcterms:modified>
  <dc:language/>
</cp:coreProperties>
</file>