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Weinberg Angle from Hopf Bundle Geometry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Hopf-Geometric Route to the Same Estimate — and the Same Gap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paper develops the Weinberg-angle estimate through the Hopf bundle structure that the rope two-strand state space carries, offering a second, more geometric route to sin²θ_W = 1/(3√2). The Hopf framing makes the origin of the ‘3’ and ‘√2’ more transparent, but it reaches the same numerical value and therefore inherits the same ~1.94% gap from measurement. It is reported with the identical honest caveat: suggestive geometry, not a precision derivation. All numbers are outputs of the rope_solver / tests computation in this package,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Hopf-bundle route to sin²θ_W = 1/(3√2), clarifying the geometric origin of the factors.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improved precision. Same ~2% gap as the winding route. Status: Modeled (Conjecture).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Hopf Bundle of the Two-Strand State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two-strand state space carries the Hopf bundle structure S³ → S². Reading the mixing angle from the base/fibre geometry of this bundle reproduces the winding-angle estimate, with the 3 arising from the spatial embedding and the √2 from the two-strand fibre.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Same Value, Same Gap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Hopf route yields sin²θ_W = 1/(3√2) = 0.2357, identical to the winding-geometry estimate and hence 1.94% from the measured value. The geometric clarity is the contribution; the numerical status is unchanged.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color w:val="7B2D26"/>
          <w:sz w:val="24"/>
          <w:szCs w:val="24"/>
        </w:rPr>
        <w:t xml:space="preserve">The honest status of this value.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predicted sin²θ_W = 1/(3√2) = 0.2357 differs from the measured 0.23122 by about 1.94%. It is close, and its form is suggestive, but it is NOT exact, and the test suite pins it explicitly as a ‘soft external input’ — the value that, when fed into the lepton-mass relation instead of the measured angle, breaks it. This is therefore a geometric conjecture of the right magnitude, not a precision derivation, and the ~2% gap is the known weak link of the electroweak sector.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Hopf-geometric sin²θ_W = 1/(3√2) — Modeled (Conjecture, same value as winding route).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~1.94% deviation — unchanged; the sector’s weak link.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2026-07-06T14:15:34.503Z</dcterms:created>
  <dcterms:modified xsi:type="dcterms:W3CDTF">2026-07-06T14:15:34.503Z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