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240" w:line="276"/>
        <w:jc w:val="center"/>
      </w:pPr>
      <w:r>
        <w:rPr>
          <w:rFonts w:ascii="Times New Roman" w:cs="Times New Roman" w:eastAsia="Times New Roman" w:hAnsi="Times New Roman"/>
          <w:b/>
          <w:bCs/>
          <w:sz w:val="38"/>
          <w:szCs w:val="38"/>
        </w:rPr>
        <w:t xml:space="preserve">Microscopic Mechanics of the Rope Medium</w:t>
      </w:r>
    </w:p>
    <w:p>
      <w:pPr>
        <w:spacing w:after="120" w:before="0" w:line="276"/>
        <w:jc w:val="center"/>
      </w:pPr>
      <w:r>
        <w:rPr>
          <w:rFonts w:ascii="Times New Roman" w:cs="Times New Roman" w:eastAsia="Times New Roman" w:hAnsi="Times New Roman"/>
          <w:b/>
          <w:bCs/>
          <w:sz w:val="24"/>
          <w:szCs w:val="24"/>
        </w:rPr>
        <w:t xml:space="preserve">From Endpoint Locking to Continuum Stiffness — With a Correction to the Coefficient</w:t>
      </w:r>
    </w:p>
    <w:p>
      <w:pPr>
        <w:spacing w:after="60" w:before="0" w:line="276"/>
        <w:jc w:val="center"/>
      </w:pPr>
      <w:r>
        <w:rPr>
          <w:rFonts w:ascii="Times New Roman" w:cs="Times New Roman" w:eastAsia="Times New Roman" w:hAnsi="Times New Roman"/>
          <w:sz w:val="22"/>
          <w:szCs w:val="22"/>
        </w:rPr>
        <w:t xml:space="preserve">Mark Palmer  ·  with computational collaboration by Claude (Anthropic)</w:t>
      </w:r>
    </w:p>
    <w:p>
      <w:pPr>
        <w:spacing w:after="60" w:before="0" w:line="276"/>
        <w:jc w:val="center"/>
      </w:pPr>
      <w:r>
        <w:rPr>
          <w:rFonts w:ascii="Times New Roman" w:cs="Times New Roman" w:eastAsia="Times New Roman" w:hAnsi="Times New Roman"/>
          <w:color w:val="666666"/>
          <w:sz w:val="20"/>
          <w:szCs w:val="20"/>
        </w:rPr>
        <w:t xml:space="preserve">Global Networking Practice, NTT DATA, Charlotte, NC  ·  palmer100@gmail.com</w:t>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Abstract</w:t>
      </w:r>
    </w:p>
    <w:p>
      <w:pPr>
        <w:spacing w:after="160" w:before="0" w:line="276"/>
        <w:jc w:val="both"/>
      </w:pPr>
      <w:r>
        <w:rPr>
          <w:rFonts w:ascii="Times New Roman" w:cs="Times New Roman" w:eastAsia="Times New Roman" w:hAnsi="Times New Roman"/>
          <w:sz w:val="24"/>
          <w:szCs w:val="24"/>
        </w:rPr>
        <w:t xml:space="preserve">Nearly every recent paper in the Rope Programme depends on a single step: the coarse-graining of microscopic endpoint mechanics into a continuum orientation stiffness. That step has been stated but not rigorously derived. This paper derives it. We confirm, exactly, that the endpoint force-balance of an atom shared between two ropes gives a locking energy J = T²/κ with the exact XY angular form, and we then carry out the coarse-graining to the continuum stiffness K explicitly, both analytically and by direct numerical simulation of the lattice. The result is unambiguous and, in one respect, corrective: the standard coarse-graining gives K = T²/(κ a) for a scalar phase field, and K = 2T²/(κ a) for a two-mode director field. It does NOT give the factor K = 3T²/(κ a) that earlier corpus papers assumed. We searched the rope-specific two-strand geometry for a mechanism that would legitimately produce the factor of three and found none; the most probable origin of the three is a dimensional double-count. We therefore report the corrected coefficient openly, trace its consequences (the electromagnetic coefficient and the phase criterion are rescaled by a factor of two to three), and show that every relation’s FORM survives unchanged — only the numerical coefficient is affected. A programme that finds and corrects a propagated coefficient is more credible, not less; quietly preserving it would have been the only unacceptable option.</w:t>
      </w:r>
    </w:p>
    <w:p>
      <w:pPr>
        <w:spacing w:after="8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7B2D26" w:sz="4"/>
              <w:left w:val="single" w:color="7B2D26" w:sz="18"/>
              <w:bottom w:val="single" w:color="7B2D26" w:sz="4"/>
              <w:right w:val="single" w:color="7B2D26"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7B2D26"/>
                <w:sz w:val="22"/>
                <w:szCs w:val="22"/>
              </w:rPr>
              <w:t xml:space="preserve">Headline result</w:t>
            </w:r>
          </w:p>
          <w:p>
            <w:pPr>
              <w:spacing w:after="60"/>
              <w:jc w:val="both"/>
            </w:pPr>
            <w:r>
              <w:rPr>
                <w:rFonts w:ascii="Times New Roman" w:cs="Times New Roman" w:eastAsia="Times New Roman" w:hAnsi="Times New Roman"/>
                <w:sz w:val="22"/>
                <w:szCs w:val="22"/>
              </w:rPr>
              <w:t xml:space="preserve">EXACT and confirmed: J = T²/κ (endpoint locking), with the exact XY angular form (1 − cos Δθ).</w:t>
            </w:r>
          </w:p>
          <w:p>
            <w:pPr>
              <w:spacing w:after="60"/>
              <w:jc w:val="both"/>
            </w:pPr>
            <w:r>
              <w:rPr>
                <w:rFonts w:ascii="Times New Roman" w:cs="Times New Roman" w:eastAsia="Times New Roman" w:hAnsi="Times New Roman"/>
                <w:sz w:val="22"/>
                <w:szCs w:val="22"/>
              </w:rPr>
              <w:t xml:space="preserve">DERIVED here: K = T²/(κ a) (scalar) or 2T²/(κ a) (director), by analytic sum AND direct lattice simulation agreeing to five significant figures.</w:t>
            </w:r>
          </w:p>
          <w:p>
            <w:pPr>
              <w:spacing w:after="60"/>
              <w:jc w:val="both"/>
            </w:pPr>
            <w:r>
              <w:rPr>
                <w:rFonts w:ascii="Times New Roman" w:cs="Times New Roman" w:eastAsia="Times New Roman" w:hAnsi="Times New Roman"/>
                <w:sz w:val="22"/>
                <w:szCs w:val="22"/>
              </w:rPr>
              <w:t xml:space="preserve">CORRECTED: the previously-assumed K = 3T²/(κ a) is not reproduced by any standard or rope-specific coarse-graining we could construct. The factor of three should be withdrawn unless later derived.</w:t>
            </w:r>
          </w:p>
        </w:tc>
      </w:tr>
    </w:tbl>
    <w:p>
      <w:pPr>
        <w:spacing w:after="80"/>
      </w:pPr>
      <w:r>
        <w:rPr>
          <w:sz w:val="22"/>
          <w:szCs w:val="22"/>
        </w:rPr>
        <w:t xml:space="preserve"/>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1.  The Step Everything Rests On</w:t>
      </w:r>
    </w:p>
    <w:p>
      <w:pPr>
        <w:spacing w:after="160" w:before="0" w:line="276"/>
        <w:jc w:val="both"/>
      </w:pPr>
      <w:r>
        <w:rPr>
          <w:rFonts w:ascii="Times New Roman" w:cs="Times New Roman" w:eastAsia="Times New Roman" w:hAnsi="Times New Roman"/>
          <w:sz w:val="24"/>
          <w:szCs w:val="24"/>
        </w:rPr>
        <w:t xml:space="preserve">The Rope Programme’s recent papers — electromagnetism, thermodynamics, condensed-matter analogues, and the quantum-foundations discussion — all descend from one microscopic-to-continuum step: the orientation locking between neighbouring ropes coarse-grains into an elastic stiffness for a continuum orientation field, and that stiffness sets the electromagnetic coefficient and the phase structure. The step has been motivated and its result quoted (K = 3T²/(κ a)), but never carried out in full. This paper carries it out.</w:t>
      </w:r>
    </w:p>
    <w:p>
      <w:pPr>
        <w:spacing w:after="160" w:before="0" w:line="276"/>
        <w:jc w:val="both"/>
      </w:pPr>
      <w:r>
        <w:rPr>
          <w:rFonts w:ascii="Times New Roman" w:cs="Times New Roman" w:eastAsia="Times New Roman" w:hAnsi="Times New Roman"/>
          <w:sz w:val="24"/>
          <w:szCs w:val="24"/>
        </w:rPr>
        <w:t xml:space="preserve">We do so in the spirit the programme has adopted throughout: compute first, and report what the computation says even when it corrects a prior claim. The derivation has two parts — the exact endpoint locking energy (§2), which we confirm, and the coarse-graining to continuum stiffness (§3–4), which we derive and which yields a corrected coefficient. Section 5 is a dedicated audit of the factor of three; §6 traces the consequences for the rest of the corpus.</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2.  The Exact Endpoint Locking Energy</w:t>
      </w:r>
    </w:p>
    <w:p>
      <w:pPr>
        <w:spacing w:after="160" w:before="0" w:line="276"/>
        <w:jc w:val="both"/>
      </w:pPr>
      <w:r>
        <w:rPr>
          <w:rFonts w:ascii="Times New Roman" w:cs="Times New Roman" w:eastAsia="Times New Roman" w:hAnsi="Times New Roman"/>
          <w:sz w:val="24"/>
          <w:szCs w:val="24"/>
        </w:rPr>
        <w:t xml:space="preserve">Consider a single atom shared by two ropes. Let it sit at displacement r from its rest position, held by a harmonic bond of stiffness κ, and pulled by two imbalance forces of magnitude T (the strand tension) in directions differing by an angle Δθ. The energy is</w:t>
      </w:r>
    </w:p>
    <w:p>
      <w:pPr>
        <w:spacing w:after="140" w:before="140"/>
        <w:jc w:val="center"/>
      </w:pPr>
      <w:r>
        <w:rPr>
          <w:rFonts w:ascii="Courier New" w:cs="Courier New" w:eastAsia="Courier New" w:hAnsi="Courier New"/>
          <w:sz w:val="22"/>
          <w:szCs w:val="22"/>
        </w:rPr>
        <w:t xml:space="preserve">E(r) = (κ/2)|r|² − F₁·r − F₂·r ,   |F₁| = |F₂| = T</w:t>
      </w:r>
      <w:r>
        <w:rPr>
          <w:rFonts w:ascii="Times New Roman" w:cs="Times New Roman" w:eastAsia="Times New Roman" w:hAnsi="Times New Roman"/>
          <w:color w:val="666666"/>
          <w:sz w:val="20"/>
          <w:szCs w:val="20"/>
        </w:rPr>
        <w:t xml:space="preserve">   (2.1)</w:t>
      </w:r>
    </w:p>
    <w:p>
      <w:pPr>
        <w:spacing w:after="160" w:before="0" w:line="276"/>
        <w:jc w:val="both"/>
      </w:pPr>
      <w:r>
        <w:rPr>
          <w:rFonts w:ascii="Times New Roman" w:cs="Times New Roman" w:eastAsia="Times New Roman" w:hAnsi="Times New Roman"/>
          <w:sz w:val="24"/>
          <w:szCs w:val="24"/>
        </w:rPr>
        <w:t xml:space="preserve">Minimising over r gives r* = (F₁+F₂)/κ and, substituting back, the minimised energy E* = −|F₁+F₂|²/(2κ). Writing the angle between the forces as Δθ and dropping the constant, the Δθ-dependent part is</w:t>
      </w:r>
    </w:p>
    <w:p>
      <w:pPr>
        <w:spacing w:after="140" w:before="140"/>
        <w:jc w:val="center"/>
      </w:pPr>
      <w:r>
        <w:rPr>
          <w:rFonts w:ascii="Courier New" w:cs="Courier New" w:eastAsia="Courier New" w:hAnsi="Courier New"/>
          <w:sz w:val="22"/>
          <w:szCs w:val="22"/>
        </w:rPr>
        <w:t xml:space="preserve">E*(Δθ) − E*(0) = (T²/κ)(1 − cos Δθ)</w:t>
      </w:r>
      <w:r>
        <w:rPr>
          <w:rFonts w:ascii="Times New Roman" w:cs="Times New Roman" w:eastAsia="Times New Roman" w:hAnsi="Times New Roman"/>
          <w:color w:val="666666"/>
          <w:sz w:val="20"/>
          <w:szCs w:val="20"/>
        </w:rPr>
        <w:t xml:space="preserve">   (2.2)</w:t>
      </w:r>
    </w:p>
    <w:p>
      <w:pPr>
        <w:spacing w:after="160" w:before="0" w:line="276"/>
        <w:jc w:val="both"/>
      </w:pPr>
      <w:r>
        <w:rPr>
          <w:rFonts w:ascii="Times New Roman" w:cs="Times New Roman" w:eastAsia="Times New Roman" w:hAnsi="Times New Roman"/>
          <w:sz w:val="24"/>
          <w:szCs w:val="24"/>
        </w:rPr>
        <w:t xml:space="preserve">This is exact in the harmonic regime, not a leading-order expansion: the ratio [E*(Δθ)−E*(0)]/(1−cosΔθ) equals T²/κ identically for all Δθ. We verified this numerically to machine precision (maximum deviation ~10⁻¹⁵ across the full angular range). The orientation coupling is therefore the lattice XY model with an exact coupling</w:t>
      </w:r>
    </w:p>
    <w:p>
      <w:pPr>
        <w:spacing w:after="140" w:before="140"/>
        <w:jc w:val="center"/>
      </w:pPr>
      <w:r>
        <w:rPr>
          <w:rFonts w:ascii="Courier New" w:cs="Courier New" w:eastAsia="Courier New" w:hAnsi="Courier New"/>
          <w:sz w:val="22"/>
          <w:szCs w:val="22"/>
        </w:rPr>
        <w:t xml:space="preserve">J = T²/κ   (exact, harmonic regime)</w:t>
      </w:r>
      <w:r>
        <w:rPr>
          <w:rFonts w:ascii="Times New Roman" w:cs="Times New Roman" w:eastAsia="Times New Roman" w:hAnsi="Times New Roman"/>
          <w:color w:val="666666"/>
          <w:sz w:val="20"/>
          <w:szCs w:val="20"/>
        </w:rPr>
        <w:t xml:space="preserve">   (2.3)</w:t>
      </w:r>
    </w:p>
    <w:p>
      <w:pPr>
        <w:spacing w:after="160" w:before="0" w:line="276"/>
        <w:jc w:val="both"/>
      </w:pPr>
      <w:r>
        <w:rPr>
          <w:rFonts w:ascii="Times New Roman" w:cs="Times New Roman" w:eastAsia="Times New Roman" w:hAnsi="Times New Roman"/>
          <w:sz w:val="24"/>
          <w:szCs w:val="24"/>
        </w:rPr>
        <w:t xml:space="preserve">with known anharmonic corrections of order gF⁴/κ⁴ when the bond potential departs from harmonic. This result is confirmed, not corrected; it is the input to the coarse-graining that follows.</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3.  Coarse-Graining to the Continuum Stiffness</w:t>
      </w:r>
    </w:p>
    <w:p>
      <w:pPr>
        <w:spacing w:after="160" w:before="0" w:line="276"/>
        <w:jc w:val="both"/>
      </w:pPr>
      <w:r>
        <w:rPr>
          <w:rFonts w:ascii="Times New Roman" w:cs="Times New Roman" w:eastAsia="Times New Roman" w:hAnsi="Times New Roman"/>
          <w:sz w:val="24"/>
          <w:szCs w:val="24"/>
        </w:rPr>
        <w:t xml:space="preserve">We now pass from the lattice XY energy to a continuum elastic energy density. The lattice energy is a sum over nearest-neighbour bonds,</w:t>
      </w:r>
    </w:p>
    <w:p>
      <w:pPr>
        <w:spacing w:after="140" w:before="140"/>
        <w:jc w:val="center"/>
      </w:pPr>
      <w:r>
        <w:rPr>
          <w:rFonts w:ascii="Courier New" w:cs="Courier New" w:eastAsia="Courier New" w:hAnsi="Courier New"/>
          <w:sz w:val="22"/>
          <w:szCs w:val="22"/>
        </w:rPr>
        <w:t xml:space="preserve">E = J Σ_{&lt;ij&gt;} (1 − cos(θ_i − θ_j))</w:t>
      </w:r>
      <w:r>
        <w:rPr>
          <w:rFonts w:ascii="Times New Roman" w:cs="Times New Roman" w:eastAsia="Times New Roman" w:hAnsi="Times New Roman"/>
          <w:color w:val="666666"/>
          <w:sz w:val="20"/>
          <w:szCs w:val="20"/>
        </w:rPr>
        <w:t xml:space="preserve">   (3.1)</w:t>
      </w:r>
    </w:p>
    <w:p>
      <w:pPr>
        <w:spacing w:after="160" w:before="0" w:line="276"/>
        <w:jc w:val="both"/>
      </w:pPr>
      <w:r>
        <w:rPr>
          <w:rFonts w:ascii="Times New Roman" w:cs="Times New Roman" w:eastAsia="Times New Roman" w:hAnsi="Times New Roman"/>
          <w:sz w:val="24"/>
          <w:szCs w:val="24"/>
        </w:rPr>
        <w:t xml:space="preserve">In the spin-wave (small-gradient) regime, 1 − cos(Δθ) ≈ ½(Δθ)², and for a slowly varying field θ(x) the bond difference is Δθ ≈ a (n̂·∇θ), where n̂ is the unit bond direction and a the lattice spacing. On a cubic lattice the three forward bonds per site point along the coordinate axes, so</w:t>
      </w:r>
    </w:p>
    <w:p>
      <w:pPr>
        <w:spacing w:after="140" w:before="140"/>
        <w:jc w:val="center"/>
      </w:pPr>
      <w:r>
        <w:rPr>
          <w:rFonts w:ascii="Courier New" w:cs="Courier New" w:eastAsia="Courier New" w:hAnsi="Courier New"/>
          <w:sz w:val="22"/>
          <w:szCs w:val="22"/>
        </w:rPr>
        <w:t xml:space="preserve">E/site = (J a²/2)[(∂_xθ)² + (∂_yθ)² + (∂_zθ)²] = (J a²/2)|∇θ|²</w:t>
      </w:r>
      <w:r>
        <w:rPr>
          <w:rFonts w:ascii="Times New Roman" w:cs="Times New Roman" w:eastAsia="Times New Roman" w:hAnsi="Times New Roman"/>
          <w:color w:val="666666"/>
          <w:sz w:val="20"/>
          <w:szCs w:val="20"/>
        </w:rPr>
        <w:t xml:space="preserve">   (3.2)</w:t>
      </w:r>
    </w:p>
    <w:p>
      <w:pPr>
        <w:spacing w:after="160" w:before="0" w:line="276"/>
        <w:jc w:val="both"/>
      </w:pPr>
      <w:r>
        <w:rPr>
          <w:rFonts w:ascii="Times New Roman" w:cs="Times New Roman" w:eastAsia="Times New Roman" w:hAnsi="Times New Roman"/>
          <w:sz w:val="24"/>
          <w:szCs w:val="24"/>
        </w:rPr>
        <w:t xml:space="preserve">The energy density is the per-site energy divided by the volume per site, a³:</w:t>
      </w:r>
    </w:p>
    <w:p>
      <w:pPr>
        <w:spacing w:after="140" w:before="140"/>
        <w:jc w:val="center"/>
      </w:pPr>
      <w:r>
        <w:rPr>
          <w:rFonts w:ascii="Courier New" w:cs="Courier New" w:eastAsia="Courier New" w:hAnsi="Courier New"/>
          <w:sz w:val="22"/>
          <w:szCs w:val="22"/>
        </w:rPr>
        <w:t xml:space="preserve">u = (J a²/2)|∇θ|² / a³ = (J/2a)|∇θ|²</w:t>
      </w:r>
      <w:r>
        <w:rPr>
          <w:rFonts w:ascii="Times New Roman" w:cs="Times New Roman" w:eastAsia="Times New Roman" w:hAnsi="Times New Roman"/>
          <w:color w:val="666666"/>
          <w:sz w:val="20"/>
          <w:szCs w:val="20"/>
        </w:rPr>
        <w:t xml:space="preserve">   (3.3)</w:t>
      </w:r>
    </w:p>
    <w:p>
      <w:pPr>
        <w:spacing w:after="160" w:before="0" w:line="276"/>
        <w:jc w:val="both"/>
      </w:pPr>
      <w:r>
        <w:rPr>
          <w:rFonts w:ascii="Times New Roman" w:cs="Times New Roman" w:eastAsia="Times New Roman" w:hAnsi="Times New Roman"/>
          <w:sz w:val="24"/>
          <w:szCs w:val="24"/>
        </w:rPr>
        <w:t xml:space="preserve">Comparing with the continuum elastic form u = (K/2)|∇θ|² gives the central result of the coarse-graining:</w:t>
      </w:r>
    </w:p>
    <w:p>
      <w:pPr>
        <w:spacing w:after="140" w:before="140"/>
        <w:jc w:val="center"/>
      </w:pPr>
      <w:r>
        <w:rPr>
          <w:rFonts w:ascii="Courier New" w:cs="Courier New" w:eastAsia="Courier New" w:hAnsi="Courier New"/>
          <w:sz w:val="22"/>
          <w:szCs w:val="22"/>
        </w:rPr>
        <w:t xml:space="preserve">K = J/a = T²/(κ a)</w:t>
      </w:r>
      <w:r>
        <w:rPr>
          <w:rFonts w:ascii="Times New Roman" w:cs="Times New Roman" w:eastAsia="Times New Roman" w:hAnsi="Times New Roman"/>
          <w:color w:val="666666"/>
          <w:sz w:val="20"/>
          <w:szCs w:val="20"/>
        </w:rPr>
        <w:t xml:space="preserve">   (3.4)</w:t>
      </w:r>
    </w:p>
    <w:p>
      <w:pPr>
        <w:spacing w:after="160" w:before="0" w:line="276"/>
        <w:jc w:val="both"/>
      </w:pPr>
      <w:r>
        <w:rPr>
          <w:rFonts w:ascii="Times New Roman" w:cs="Times New Roman" w:eastAsia="Times New Roman" w:hAnsi="Times New Roman"/>
          <w:b/>
          <w:bCs/>
          <w:sz w:val="24"/>
          <w:szCs w:val="24"/>
        </w:rPr>
        <w:t xml:space="preserve">Note what did and did not happen to the coordination number. </w:t>
      </w:r>
      <w:r>
        <w:rPr>
          <w:rFonts w:ascii="Times New Roman" w:cs="Times New Roman" w:eastAsia="Times New Roman" w:hAnsi="Times New Roman"/>
          <w:sz w:val="24"/>
          <w:szCs w:val="24"/>
        </w:rPr>
        <w:t xml:space="preserve">The cubic lattice has six nearest neighbours, i.e. three forward bonds per site. Those three bonds supply the three terms (∂_xθ)², (∂_yθ)², (∂_zθ)² — which is exactly |∇θ|². The ‘three’ of the three spatial directions is therefore ALREADY inside |∇θ|²; it is not an additional prefactor. This is the crux of the coefficient question addressed in §5.</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4.  Direct Numerical Confirmation</w:t>
      </w:r>
    </w:p>
    <w:p>
      <w:pPr>
        <w:spacing w:after="160" w:before="0" w:line="276"/>
        <w:jc w:val="both"/>
      </w:pPr>
      <w:r>
        <w:rPr>
          <w:rFonts w:ascii="Times New Roman" w:cs="Times New Roman" w:eastAsia="Times New Roman" w:hAnsi="Times New Roman"/>
          <w:sz w:val="24"/>
          <w:szCs w:val="24"/>
        </w:rPr>
        <w:t xml:space="preserve">Because the coefficient is the whole point, we do not rely on the analytic sum alone. We built a three-dimensional XY lattice, imposed a known uniform gradient θ(x) = q·x, computed the exact XY energy E = J Σ (1 − cos Δθ) with no small-angle approximation, and extracted K from K = 2E/(q² V), where V is the sampled volume.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c>
          <w:tcPr>
            <w:tcW w:type="dxa" w:w="43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Quantity</w:t>
            </w:r>
          </w:p>
        </w:tc>
        <w:tc>
          <w:tcPr>
            <w:tcW w:type="dxa" w:w="506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Value</w:t>
            </w:r>
          </w:p>
        </w:tc>
      </w:tr>
      <w:tr>
        <w:tc>
          <w:tcPr>
            <w:tcW w:type="dxa" w:w="43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Lattice</w:t>
            </w:r>
          </w:p>
        </w:tc>
        <w:tc>
          <w:tcPr>
            <w:tcW w:type="dxa" w:w="50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20×20×20 cubic, spacing a = 1, J = 1</w:t>
            </w:r>
          </w:p>
        </w:tc>
      </w:tr>
      <w:tr>
        <w:tc>
          <w:tcPr>
            <w:tcW w:type="dxa" w:w="43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Imposed gradient</w:t>
            </w:r>
          </w:p>
        </w:tc>
        <w:tc>
          <w:tcPr>
            <w:tcW w:type="dxa" w:w="50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q = 0.01 along x</w:t>
            </w:r>
          </w:p>
        </w:tc>
      </w:tr>
      <w:tr>
        <w:tc>
          <w:tcPr>
            <w:tcW w:type="dxa" w:w="43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Exact lattice energy E</w:t>
            </w:r>
          </w:p>
        </w:tc>
        <w:tc>
          <w:tcPr>
            <w:tcW w:type="dxa" w:w="50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0.379997</w:t>
            </w:r>
          </w:p>
        </w:tc>
      </w:tr>
      <w:tr>
        <w:tc>
          <w:tcPr>
            <w:tcW w:type="dxa" w:w="43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Spin-wave prediction (K = J/a)</w:t>
            </w:r>
          </w:p>
        </w:tc>
        <w:tc>
          <w:tcPr>
            <w:tcW w:type="dxa" w:w="50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0.380000</w:t>
            </w:r>
          </w:p>
        </w:tc>
      </w:tr>
      <w:tr>
        <w:tc>
          <w:tcPr>
            <w:tcW w:type="dxa" w:w="43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Extracted K</w:t>
            </w:r>
          </w:p>
        </w:tc>
        <w:tc>
          <w:tcPr>
            <w:tcW w:type="dxa" w:w="50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0.999992 × J/a</w:t>
            </w:r>
          </w:p>
        </w:tc>
      </w:tr>
    </w:tbl>
    <w:p>
      <w:pPr>
        <w:spacing w:after="160" w:before="0" w:line="276"/>
        <w:jc w:val="both"/>
      </w:pPr>
      <w:r>
        <w:rPr>
          <w:rFonts w:ascii="Times New Roman" w:cs="Times New Roman" w:eastAsia="Times New Roman" w:hAnsi="Times New Roman"/>
          <w:sz w:val="24"/>
          <w:szCs w:val="24"/>
        </w:rPr>
        <w:t xml:space="preserve">The measured stiffness is K = J/a to five significant figures. The analytic result (3.4) and the direct simulation agree: for a scalar phase field on a cubic lattice, K = T²/(κ a), with a coefficient of one.</w:t>
      </w:r>
    </w:p>
    <w:p>
      <w:pPr>
        <w:pStyle w:val="Heading2"/>
        <w:spacing w:after="120" w:before="240"/>
      </w:pPr>
      <w:r>
        <w:rPr>
          <w:rFonts w:ascii="Times New Roman" w:cs="Times New Roman" w:eastAsia="Times New Roman" w:hAnsi="Times New Roman"/>
          <w:b/>
          <w:bCs/>
          <w:i/>
          <w:iCs/>
          <w:color w:val="2E4057"/>
          <w:sz w:val="24"/>
          <w:szCs w:val="24"/>
        </w:rPr>
        <w:t xml:space="preserve">The director correction (a factor of two, not three)</w:t>
      </w:r>
    </w:p>
    <w:p>
      <w:pPr>
        <w:spacing w:after="160" w:before="0" w:line="276"/>
        <w:jc w:val="both"/>
      </w:pPr>
      <w:r>
        <w:rPr>
          <w:rFonts w:ascii="Times New Roman" w:cs="Times New Roman" w:eastAsia="Times New Roman" w:hAnsi="Times New Roman"/>
          <w:sz w:val="24"/>
          <w:szCs w:val="24"/>
        </w:rPr>
        <w:t xml:space="preserve">The rope imbalance is a direction (a unit-vector director n), not merely a scalar phase. A director in three dimensions has two independent transverse fluctuation modes (three components minus the unit-length constraint). If each transverse mode coarse-grains like a scalar phase with stiffness J/a, the director stiffness is at most</w:t>
      </w:r>
    </w:p>
    <w:p>
      <w:pPr>
        <w:spacing w:after="140" w:before="140"/>
        <w:jc w:val="center"/>
      </w:pPr>
      <w:r>
        <w:rPr>
          <w:rFonts w:ascii="Courier New" w:cs="Courier New" w:eastAsia="Courier New" w:hAnsi="Courier New"/>
          <w:sz w:val="22"/>
          <w:szCs w:val="22"/>
        </w:rPr>
        <w:t xml:space="preserve">K_director = 2 J/a = 2T²/(κ a)</w:t>
      </w:r>
      <w:r>
        <w:rPr>
          <w:rFonts w:ascii="Times New Roman" w:cs="Times New Roman" w:eastAsia="Times New Roman" w:hAnsi="Times New Roman"/>
          <w:color w:val="666666"/>
          <w:sz w:val="20"/>
          <w:szCs w:val="20"/>
        </w:rPr>
        <w:t xml:space="preserve">   (4.1)</w:t>
      </w:r>
    </w:p>
    <w:p>
      <w:pPr>
        <w:spacing w:after="160" w:before="0" w:line="276"/>
        <w:jc w:val="both"/>
      </w:pPr>
      <w:r>
        <w:rPr>
          <w:rFonts w:ascii="Times New Roman" w:cs="Times New Roman" w:eastAsia="Times New Roman" w:hAnsi="Times New Roman"/>
          <w:sz w:val="24"/>
          <w:szCs w:val="24"/>
        </w:rPr>
        <w:t xml:space="preserve">The factor is two, the number of PHYSICAL transverse modes. Counting all three components of n as independent — ignoring the unit constraint — would give three, but the third (longitudinal) mode is constrained and unphysical; including it is a double-count. Neither the scalar nor the correct director treatment yields the coefficient three.</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5.  The Factor-of-Three Audit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7B2D26" w:sz="4"/>
              <w:left w:val="single" w:color="7B2D26" w:sz="18"/>
              <w:bottom w:val="single" w:color="7B2D26" w:sz="4"/>
              <w:right w:val="single" w:color="7B2D26"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7B2D26"/>
                <w:sz w:val="22"/>
                <w:szCs w:val="22"/>
              </w:rPr>
              <w:t xml:space="preserve">Plain statement of the audit</w:t>
            </w:r>
          </w:p>
          <w:p>
            <w:pPr>
              <w:spacing w:after="60"/>
              <w:jc w:val="both"/>
            </w:pPr>
            <w:r>
              <w:rPr>
                <w:rFonts w:ascii="Times New Roman" w:cs="Times New Roman" w:eastAsia="Times New Roman" w:hAnsi="Times New Roman"/>
                <w:sz w:val="22"/>
                <w:szCs w:val="22"/>
              </w:rPr>
              <w:t xml:space="preserve">Earlier corpus papers used K = 3J/a = 3T²/(κ a). Direct coarse-graining gives K = J/a for a scalar phase field and K = 2J/a for a two-mode director field. No standard coarse-graining, and no rope-specific geometry we could construct, gives 3J/a. Therefore the coefficient should be corrected — to one (scalar) or two (director) — unless a rope-specific geometric factor is later derived that legitimately restores three.</w:t>
            </w:r>
          </w:p>
        </w:tc>
      </w:tr>
    </w:tbl>
    <w:p>
      <w:pPr>
        <w:spacing w:after="160" w:before="0" w:line="276"/>
        <w:jc w:val="both"/>
      </w:pPr>
      <w:r>
        <w:rPr>
          <w:rFonts w:ascii="Times New Roman" w:cs="Times New Roman" w:eastAsia="Times New Roman" w:hAnsi="Times New Roman"/>
          <w:sz w:val="24"/>
          <w:szCs w:val="24"/>
        </w:rPr>
        <w:t xml:space="preserve">We take the posture that the factor of three is not trusted unless it can be derived. Having failed to derive it, we report its most probable origin and its consequences honestly.</w:t>
      </w:r>
    </w:p>
    <w:p>
      <w:pPr>
        <w:pStyle w:val="Heading2"/>
        <w:spacing w:after="120" w:before="240"/>
      </w:pPr>
      <w:r>
        <w:rPr>
          <w:rFonts w:ascii="Times New Roman" w:cs="Times New Roman" w:eastAsia="Times New Roman" w:hAnsi="Times New Roman"/>
          <w:b/>
          <w:bCs/>
          <w:i/>
          <w:iCs/>
          <w:color w:val="2E4057"/>
          <w:sz w:val="24"/>
          <w:szCs w:val="24"/>
        </w:rPr>
        <w:t xml:space="preserve">5.1  Where the three most likely came from</w:t>
      </w:r>
    </w:p>
    <w:p>
      <w:pPr>
        <w:spacing w:after="160" w:before="0" w:line="276"/>
        <w:jc w:val="both"/>
      </w:pPr>
      <w:r>
        <w:rPr>
          <w:rFonts w:ascii="Times New Roman" w:cs="Times New Roman" w:eastAsia="Times New Roman" w:hAnsi="Times New Roman"/>
          <w:sz w:val="24"/>
          <w:szCs w:val="24"/>
        </w:rPr>
        <w:t xml:space="preserve">The coordinate sum |∇θ|² = (∂_xθ)² + (∂_yθ)² + (∂_zθ)² already contains the three spatial directions. A derivation that writes ‘sum over the three directions of the medium’ and then pulls out a prefactor of three has counted the dimensionality twice: once inside |∇θ|² and once as the prefactor. This dimensional double-count is the most probable origin of the erroneous three, and it is an error rather than a geometric feature.</w:t>
      </w:r>
    </w:p>
    <w:p>
      <w:pPr>
        <w:pStyle w:val="Heading2"/>
        <w:spacing w:after="120" w:before="240"/>
      </w:pPr>
      <w:r>
        <w:rPr>
          <w:rFonts w:ascii="Times New Roman" w:cs="Times New Roman" w:eastAsia="Times New Roman" w:hAnsi="Times New Roman"/>
          <w:b/>
          <w:bCs/>
          <w:i/>
          <w:iCs/>
          <w:color w:val="2E4057"/>
          <w:sz w:val="24"/>
          <w:szCs w:val="24"/>
        </w:rPr>
        <w:t xml:space="preserve">5.2  Rope-specific mechanisms considered, and why none forces three</w:t>
      </w:r>
    </w:p>
    <w:p>
      <w:pPr>
        <w:spacing w:after="160" w:before="0" w:line="276"/>
        <w:jc w:val="both"/>
      </w:pPr>
      <w:r>
        <w:rPr>
          <w:rFonts w:ascii="Times New Roman" w:cs="Times New Roman" w:eastAsia="Times New Roman" w:hAnsi="Times New Roman"/>
          <w:sz w:val="24"/>
          <w:szCs w:val="24"/>
        </w:rPr>
        <w:t xml:space="preserve">We searched the two-strand rope structure specifically — not merely a generic XY model — for a legitimate factor of three:</w:t>
      </w:r>
    </w:p>
    <w:p>
      <w:pPr>
        <w:pStyle w:val="ListParagraph"/>
        <w:numPr>
          <w:ilvl w:val="0"/>
          <w:numId w:val="2"/>
        </w:numPr>
        <w:spacing w:after="80"/>
        <w:jc w:val="both"/>
      </w:pPr>
      <w:r>
        <w:rPr>
          <w:rFonts w:ascii="Times New Roman" w:cs="Times New Roman" w:eastAsia="Times New Roman" w:hAnsi="Times New Roman"/>
          <w:sz w:val="24"/>
          <w:szCs w:val="24"/>
        </w:rPr>
        <w:t xml:space="preserve">Two strands per rope: if both strands lock independently, the coupling could double, giving a factor two — but the imbalance is the single relative-strand direction, so even this is not clearly present, and it gives two at most, never three.</w:t>
      </w:r>
    </w:p>
    <w:p>
      <w:pPr>
        <w:pStyle w:val="ListParagraph"/>
        <w:numPr>
          <w:ilvl w:val="0"/>
          <w:numId w:val="2"/>
        </w:numPr>
        <w:spacing w:after="80"/>
        <w:jc w:val="both"/>
      </w:pPr>
      <w:r>
        <w:rPr>
          <w:rFonts w:ascii="Times New Roman" w:cs="Times New Roman" w:eastAsia="Times New Roman" w:hAnsi="Times New Roman"/>
          <w:sz w:val="24"/>
          <w:szCs w:val="24"/>
        </w:rPr>
        <w:t xml:space="preserve">Interpenetration / beyond-nearest-neighbour coupling: adding further-neighbour bonds does inflate K, but to land on exactly three requires a specific, unforced coupling ratio; the value is tunable, not a clean three.</w:t>
      </w:r>
    </w:p>
    <w:p>
      <w:pPr>
        <w:pStyle w:val="ListParagraph"/>
        <w:numPr>
          <w:ilvl w:val="0"/>
          <w:numId w:val="2"/>
        </w:numPr>
        <w:spacing w:after="80"/>
        <w:jc w:val="both"/>
      </w:pPr>
      <w:r>
        <w:rPr>
          <w:rFonts w:ascii="Times New Roman" w:cs="Times New Roman" w:eastAsia="Times New Roman" w:hAnsi="Times New Roman"/>
          <w:sz w:val="24"/>
          <w:szCs w:val="24"/>
        </w:rPr>
        <w:t xml:space="preserve">Director-component counting: gives three only by including the constrained longitudinal mode, which is a double-count (§4).</w:t>
      </w:r>
    </w:p>
    <w:p>
      <w:pPr>
        <w:spacing w:after="160" w:before="0" w:line="276"/>
        <w:jc w:val="both"/>
      </w:pPr>
      <w:r>
        <w:rPr>
          <w:rFonts w:ascii="Times New Roman" w:cs="Times New Roman" w:eastAsia="Times New Roman" w:hAnsi="Times New Roman"/>
          <w:sz w:val="24"/>
          <w:szCs w:val="24"/>
        </w:rPr>
        <w:t xml:space="preserve">None of these forces three. We therefore withdraw the factor pending a derivation that does.</w:t>
      </w:r>
    </w:p>
    <w:p>
      <w:pPr>
        <w:pStyle w:val="Heading2"/>
        <w:spacing w:after="120" w:before="240"/>
      </w:pPr>
      <w:r>
        <w:rPr>
          <w:rFonts w:ascii="Times New Roman" w:cs="Times New Roman" w:eastAsia="Times New Roman" w:hAnsi="Times New Roman"/>
          <w:b/>
          <w:bCs/>
          <w:i/>
          <w:iCs/>
          <w:color w:val="2E4057"/>
          <w:sz w:val="24"/>
          <w:szCs w:val="24"/>
        </w:rPr>
        <w:t xml:space="preserve">5.3  What is affected, and what is not</w:t>
      </w:r>
    </w:p>
    <w:p>
      <w:pPr>
        <w:spacing w:after="160" w:before="0" w:line="276"/>
        <w:jc w:val="both"/>
      </w:pPr>
      <w:r>
        <w:rPr>
          <w:rFonts w:ascii="Times New Roman" w:cs="Times New Roman" w:eastAsia="Times New Roman" w:hAnsi="Times New Roman"/>
          <w:sz w:val="24"/>
          <w:szCs w:val="24"/>
        </w:rPr>
        <w:t xml:space="preserve">The correction is a rescaling of one coefficient; it does not touch the structure of any result. The following are UNCHANGED: the exact locking J = T²/κ; the proportionalities K ∝ J/a, c ∝ 1/K, and c ∝ κ a/T²; the existence and universality class of the phase transition; and the STRUCTURAL α–G prediction (that the two couplings drift in a correlated, fixed ratio). The following are RESCALED by a factor of two to three: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0"/>
        <w:gridCol w:w="2900"/>
        <w:gridCol w:w="3360"/>
      </w:tblGrid>
      <w:tr>
        <w:tc>
          <w:tcPr>
            <w:tcW w:type="dxa" w:w="31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Quantity</w:t>
            </w:r>
          </w:p>
        </w:tc>
        <w:tc>
          <w:tcPr>
            <w:tcW w:type="dxa" w:w="29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Previously (corpus)</w:t>
            </w:r>
          </w:p>
        </w:tc>
        <w:tc>
          <w:tcPr>
            <w:tcW w:type="dxa" w:w="336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Corrected (this paper)</w:t>
            </w:r>
          </w:p>
        </w:tc>
      </w:tr>
      <w:tr>
        <w:tc>
          <w:tcPr>
            <w:tcW w:type="dxa" w:w="31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Continuum stiffness K</w:t>
            </w:r>
          </w:p>
        </w:tc>
        <w:tc>
          <w:tcPr>
            <w:tcW w:type="dxa" w:w="29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3T²/(κ a)</w:t>
            </w:r>
          </w:p>
        </w:tc>
        <w:tc>
          <w:tcPr>
            <w:tcW w:type="dxa" w:w="33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T²/(κ a) scalar; 2T²/(κ a) director</w:t>
            </w:r>
          </w:p>
        </w:tc>
      </w:tr>
      <w:tr>
        <w:tc>
          <w:tcPr>
            <w:tcW w:type="dxa" w:w="31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EM coefficient c = 1/K</w:t>
            </w:r>
          </w:p>
        </w:tc>
        <w:tc>
          <w:tcPr>
            <w:tcW w:type="dxa" w:w="29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κ a/(3T²)</w:t>
            </w:r>
          </w:p>
        </w:tc>
        <w:tc>
          <w:tcPr>
            <w:tcW w:type="dxa" w:w="33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κ a/T² scalar; κ a/(2T²) director</w:t>
            </w:r>
          </w:p>
        </w:tc>
      </w:tr>
      <w:tr>
        <w:tc>
          <w:tcPr>
            <w:tcW w:type="dxa" w:w="31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Phase criterion (Maxwell phase)</w:t>
            </w:r>
          </w:p>
        </w:tc>
        <w:tc>
          <w:tcPr>
            <w:tcW w:type="dxa" w:w="29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T² &gt; κ/3</w:t>
            </w:r>
          </w:p>
        </w:tc>
        <w:tc>
          <w:tcPr>
            <w:tcW w:type="dxa" w:w="33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T² &gt; κ scalar; T² &gt; κ/2 director</w:t>
            </w:r>
          </w:p>
        </w:tc>
      </w:tr>
    </w:tbl>
    <w:p>
      <w:pPr>
        <w:spacing w:after="160" w:before="0" w:line="276"/>
        <w:jc w:val="both"/>
      </w:pPr>
      <w:r>
        <w:rPr>
          <w:rFonts w:ascii="Times New Roman" w:cs="Times New Roman" w:eastAsia="Times New Roman" w:hAnsi="Times New Roman"/>
          <w:sz w:val="24"/>
          <w:szCs w:val="24"/>
        </w:rPr>
        <w:t xml:space="preserve">Because these are single-coefficient rescalings, they can be absorbed into the definitions of the rope primitives (T, κ, a are themselves only constrained in combination by observation). The programme’s empirical content — which lives in the FORMS of the relations and in the structural predictions — is therefore intact. What changes is the bookkeeping of one numerical factor, now corrected.</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6.  Corrections to Earlier Papers</w:t>
      </w:r>
    </w:p>
    <w:p>
      <w:pPr>
        <w:spacing w:after="160" w:before="0" w:line="276"/>
        <w:jc w:val="both"/>
      </w:pPr>
      <w:r>
        <w:rPr>
          <w:rFonts w:ascii="Times New Roman" w:cs="Times New Roman" w:eastAsia="Times New Roman" w:hAnsi="Times New Roman"/>
          <w:sz w:val="24"/>
          <w:szCs w:val="24"/>
        </w:rPr>
        <w:t xml:space="preserve">Honesty requires naming the papers that carried the factor of three and stating the correction each needs. In every case the correction is a coefficient rescaling; no argument or conclusion is overturned.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400"/>
        <w:gridCol w:w="3460"/>
      </w:tblGrid>
      <w:tr>
        <w:tc>
          <w:tcPr>
            <w:tcW w:type="dxa" w:w="25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Paper</w:t>
            </w:r>
          </w:p>
        </w:tc>
        <w:tc>
          <w:tcPr>
            <w:tcW w:type="dxa" w:w="34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Appearance of the factor</w:t>
            </w:r>
          </w:p>
        </w:tc>
        <w:tc>
          <w:tcPr>
            <w:tcW w:type="dxa" w:w="346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Correction</w:t>
            </w:r>
          </w:p>
        </w:tc>
      </w:tr>
      <w:tr>
        <w:tc>
          <w:tcPr>
            <w:tcW w:type="dxa" w:w="25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Magnetism / EM coefficient</w:t>
            </w:r>
          </w:p>
        </w:tc>
        <w:tc>
          <w:tcPr>
            <w:tcW w:type="dxa" w:w="3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 = κ a/(3T²)</w:t>
            </w:r>
          </w:p>
        </w:tc>
        <w:tc>
          <w:tcPr>
            <w:tcW w:type="dxa" w:w="34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 = κ a/T² (scalar) or κ a/(2T²) (director)</w:t>
            </w:r>
          </w:p>
        </w:tc>
      </w:tr>
      <w:tr>
        <w:tc>
          <w:tcPr>
            <w:tcW w:type="dxa" w:w="25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Thermodynamics</w:t>
            </w:r>
          </w:p>
        </w:tc>
        <w:tc>
          <w:tcPr>
            <w:tcW w:type="dxa" w:w="3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K = 3T²/(κ a); phase at T² = κ/3</w:t>
            </w:r>
          </w:p>
        </w:tc>
        <w:tc>
          <w:tcPr>
            <w:tcW w:type="dxa" w:w="34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K = T²/(κ a) or 2T²/(κ a); phase at T² = κ or κ/2</w:t>
            </w:r>
          </w:p>
        </w:tc>
      </w:tr>
      <w:tr>
        <w:tc>
          <w:tcPr>
            <w:tcW w:type="dxa" w:w="25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Condensed-matter analogues</w:t>
            </w:r>
          </w:p>
        </w:tc>
        <w:tc>
          <w:tcPr>
            <w:tcW w:type="dxa" w:w="3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inverse law c ∝ 1/K unaffected in FORM</w:t>
            </w:r>
          </w:p>
        </w:tc>
        <w:tc>
          <w:tcPr>
            <w:tcW w:type="dxa" w:w="34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the specific 1/3 coefficient rescaled; the testable inverse relation stands</w:t>
            </w:r>
          </w:p>
        </w:tc>
      </w:tr>
      <w:tr>
        <w:tc>
          <w:tcPr>
            <w:tcW w:type="dxa" w:w="25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Cosmology / α–G</w:t>
            </w:r>
          </w:p>
        </w:tc>
        <w:tc>
          <w:tcPr>
            <w:tcW w:type="dxa" w:w="3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d ln α = −2 d ln G (structural)</w:t>
            </w:r>
          </w:p>
        </w:tc>
        <w:tc>
          <w:tcPr>
            <w:tcW w:type="dxa" w:w="34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UNCHANGED — the −2 is a structural exponent, independent of the stiffness coefficient</w:t>
            </w:r>
          </w:p>
        </w:tc>
      </w:tr>
    </w:tbl>
    <w:p>
      <w:pPr>
        <w:spacing w:after="160" w:before="0" w:line="276"/>
        <w:jc w:val="both"/>
      </w:pPr>
      <w:r>
        <w:rPr>
          <w:rFonts w:ascii="Times New Roman" w:cs="Times New Roman" w:eastAsia="Times New Roman" w:hAnsi="Times New Roman"/>
          <w:b/>
          <w:bCs/>
          <w:color w:val="2E6E4F"/>
          <w:sz w:val="24"/>
          <w:szCs w:val="24"/>
        </w:rPr>
        <w:t xml:space="preserve">A point worth stressing about the α–G prediction. </w:t>
      </w:r>
      <w:r>
        <w:rPr>
          <w:rFonts w:ascii="Times New Roman" w:cs="Times New Roman" w:eastAsia="Times New Roman" w:hAnsi="Times New Roman"/>
          <w:sz w:val="24"/>
          <w:szCs w:val="24"/>
        </w:rPr>
        <w:t xml:space="preserve">The correlated-drift exponent (−2) comes from how α and G each scale with the shared tension T, not from the numerical stiffness coefficient. Rescaling K leaves it untouched. The programme’s sharpest prediction is therefore unaffected by this correction — a reassuring sign that the correction is bookkeeping, not substance.</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7.  Validity and Limits of the Derivation</w:t>
      </w:r>
    </w:p>
    <w:p>
      <w:pPr>
        <w:spacing w:after="160" w:before="0" w:line="276"/>
        <w:jc w:val="both"/>
      </w:pPr>
      <w:r>
        <w:rPr>
          <w:rFonts w:ascii="Times New Roman" w:cs="Times New Roman" w:eastAsia="Times New Roman" w:hAnsi="Times New Roman"/>
          <w:sz w:val="24"/>
          <w:szCs w:val="24"/>
        </w:rPr>
        <w:t xml:space="preserve">We state the assumptions under which the corrected result holds, so that its scope is clear:</w:t>
      </w:r>
    </w:p>
    <w:p>
      <w:pPr>
        <w:pStyle w:val="ListParagraph"/>
        <w:numPr>
          <w:ilvl w:val="0"/>
          <w:numId w:val="3"/>
        </w:numPr>
        <w:spacing w:after="80"/>
        <w:jc w:val="both"/>
      </w:pPr>
      <w:r>
        <w:rPr>
          <w:rFonts w:ascii="Times New Roman" w:cs="Times New Roman" w:eastAsia="Times New Roman" w:hAnsi="Times New Roman"/>
          <w:sz w:val="24"/>
          <w:szCs w:val="24"/>
        </w:rPr>
        <w:t xml:space="preserve">Harmonic bond: J = T²/κ is exact for a harmonic shared bond; anharmonic corrections of order gF⁴/κ⁴ enter for stiff displacements and would add higher-gradient terms to the continuum energy.</w:t>
      </w:r>
    </w:p>
    <w:p>
      <w:pPr>
        <w:pStyle w:val="ListParagraph"/>
        <w:numPr>
          <w:ilvl w:val="0"/>
          <w:numId w:val="3"/>
        </w:numPr>
        <w:spacing w:after="80"/>
        <w:jc w:val="both"/>
      </w:pPr>
      <w:r>
        <w:rPr>
          <w:rFonts w:ascii="Times New Roman" w:cs="Times New Roman" w:eastAsia="Times New Roman" w:hAnsi="Times New Roman"/>
          <w:sz w:val="24"/>
          <w:szCs w:val="24"/>
        </w:rPr>
        <w:t xml:space="preserve">Spin-wave regime: K = J/a is the stiffness of the ordered phase, valid where gradients are small on the lattice scale. Near the phase transition, fluctuation renormalisation modifies the effective stiffness (the subject of the successor renormalisation paper).</w:t>
      </w:r>
    </w:p>
    <w:p>
      <w:pPr>
        <w:pStyle w:val="ListParagraph"/>
        <w:numPr>
          <w:ilvl w:val="0"/>
          <w:numId w:val="3"/>
        </w:numPr>
        <w:spacing w:after="80"/>
        <w:jc w:val="both"/>
      </w:pPr>
      <w:r>
        <w:rPr>
          <w:rFonts w:ascii="Times New Roman" w:cs="Times New Roman" w:eastAsia="Times New Roman" w:hAnsi="Times New Roman"/>
          <w:sz w:val="24"/>
          <w:szCs w:val="24"/>
        </w:rPr>
        <w:t xml:space="preserve">Cubic lattice: the coefficient is derived for a cubic arrangement; a different microscopic geometry would change the numerical coefficient (though not below one for a scalar phase). The true rope-medium geometry is itself an open question, which is precisely why we treat the coefficient as provisional and refuse to assert three.</w:t>
      </w:r>
    </w:p>
    <w:p>
      <w:pPr>
        <w:spacing w:after="160" w:before="0" w:line="276"/>
        <w:jc w:val="both"/>
      </w:pPr>
      <w:r>
        <w:rPr>
          <w:rFonts w:ascii="Times New Roman" w:cs="Times New Roman" w:eastAsia="Times New Roman" w:hAnsi="Times New Roman"/>
          <w:sz w:val="24"/>
          <w:szCs w:val="24"/>
        </w:rPr>
        <w:t xml:space="preserve">These limits mean the corrected coefficient (one or two) is itself the LEADING-ORDER value; the honest claim is not ‘the coefficient is exactly one’ but ‘the coefficient is of order one, is one or two under the standard assumptions, and is definitely not three unless new geometry is shown.’</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8.  Status of Each Result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00"/>
        <w:gridCol w:w="4160"/>
      </w:tblGrid>
      <w:tr>
        <w:tc>
          <w:tcPr>
            <w:tcW w:type="dxa" w:w="52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Result</w:t>
            </w:r>
          </w:p>
        </w:tc>
        <w:tc>
          <w:tcPr>
            <w:tcW w:type="dxa" w:w="416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Status</w:t>
            </w:r>
          </w:p>
        </w:tc>
      </w:tr>
      <w:tr>
        <w:tc>
          <w:tcPr>
            <w:tcW w:type="dxa" w:w="52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J = T²/κ (endpoint locking)</w:t>
            </w:r>
          </w:p>
        </w:tc>
        <w:tc>
          <w:tcPr>
            <w:tcW w:type="dxa" w:w="41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Microscopically Derived — exact (harmonic), numerically confirmed</w:t>
            </w:r>
          </w:p>
        </w:tc>
      </w:tr>
      <w:tr>
        <w:tc>
          <w:tcPr>
            <w:tcW w:type="dxa" w:w="52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Exact XY angular form (1 − cos Δθ)</w:t>
            </w:r>
          </w:p>
        </w:tc>
        <w:tc>
          <w:tcPr>
            <w:tcW w:type="dxa" w:w="41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Microscopically Derived — exact, numerically confirmed</w:t>
            </w:r>
          </w:p>
        </w:tc>
      </w:tr>
      <w:tr>
        <w:tc>
          <w:tcPr>
            <w:tcW w:type="dxa" w:w="52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K = T²/(κ a) (scalar phase)</w:t>
            </w:r>
          </w:p>
        </w:tc>
        <w:tc>
          <w:tcPr>
            <w:tcW w:type="dxa" w:w="41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Microscopically Derived — analytic + direct lattice simulation</w:t>
            </w:r>
          </w:p>
        </w:tc>
      </w:tr>
      <w:tr>
        <w:tc>
          <w:tcPr>
            <w:tcW w:type="dxa" w:w="52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K = 2T²/(κ a) (director, 2 modes)</w:t>
            </w:r>
          </w:p>
        </w:tc>
        <w:tc>
          <w:tcPr>
            <w:tcW w:type="dxa" w:w="41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Derived under the one-constant / independent-mode assumption</w:t>
            </w:r>
          </w:p>
        </w:tc>
      </w:tr>
      <w:tr>
        <w:tc>
          <w:tcPr>
            <w:tcW w:type="dxa" w:w="52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Withdrawal of K = 3T²/(κ a)</w:t>
            </w:r>
          </w:p>
        </w:tc>
        <w:tc>
          <w:tcPr>
            <w:tcW w:type="dxa" w:w="41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Established — not reproduced by any coarse-graining we could construct</w:t>
            </w:r>
          </w:p>
        </w:tc>
      </w:tr>
      <w:tr>
        <w:tc>
          <w:tcPr>
            <w:tcW w:type="dxa" w:w="52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Coefficient corrections to EM / thermo</w:t>
            </w:r>
          </w:p>
        </w:tc>
        <w:tc>
          <w:tcPr>
            <w:tcW w:type="dxa" w:w="41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Consequential — follow directly from the corrected K</w:t>
            </w:r>
          </w:p>
        </w:tc>
      </w:tr>
      <w:tr>
        <w:tc>
          <w:tcPr>
            <w:tcW w:type="dxa" w:w="52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α–G structural prediction unaffected</w:t>
            </w:r>
          </w:p>
        </w:tc>
        <w:tc>
          <w:tcPr>
            <w:tcW w:type="dxa" w:w="41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Established — the exponent is independent of the coefficient</w:t>
            </w:r>
          </w:p>
        </w:tc>
      </w:tr>
      <w:tr>
        <w:tc>
          <w:tcPr>
            <w:tcW w:type="dxa" w:w="52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True rope-medium lattice geometry</w:t>
            </w:r>
          </w:p>
        </w:tc>
        <w:tc>
          <w:tcPr>
            <w:tcW w:type="dxa" w:w="41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Open Problem — sets whether the coefficient is 1, 2, or other O(1)</w:t>
            </w:r>
          </w:p>
        </w:tc>
      </w:tr>
    </w:tbl>
    <w:p>
      <w:pPr>
        <w:spacing w:after="80"/>
      </w:pPr>
      <w:r>
        <w:rPr>
          <w:sz w:val="22"/>
          <w:szCs w:val="22"/>
        </w:rPr>
        <w:t xml:space="preserve"/>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Appendix A.  Dependency Graph</w:t>
      </w:r>
    </w:p>
    <w:p>
      <w:pPr>
        <w:spacing w:after="160" w:before="0" w:line="276"/>
        <w:jc w:val="both"/>
      </w:pPr>
      <w:r>
        <w:rPr>
          <w:rFonts w:ascii="Times New Roman" w:cs="Times New Roman" w:eastAsia="Times New Roman" w:hAnsi="Times New Roman"/>
          <w:sz w:val="24"/>
          <w:szCs w:val="24"/>
        </w:rPr>
        <w:t xml:space="preserve">The derivation chain, with the corrected coefficient in place and the affected quantities marked.</w:t>
      </w:r>
    </w:p>
    <w:p>
      <w:pPr>
        <w:spacing w:after="80"/>
      </w:pPr>
      <w:r>
        <w:rPr>
          <w:sz w:val="22"/>
          <w:szCs w:val="22"/>
        </w:rPr>
        <w:t xml:space="preserve"/>
      </w:r>
    </w:p>
    <w:p>
      <w:pPr>
        <w:spacing w:after="20" w:before="20"/>
        <w:jc w:val="center"/>
      </w:pPr>
      <w:r>
        <w:rPr>
          <w:rFonts w:ascii="Courier New" w:cs="Courier New" w:eastAsia="Courier New" w:hAnsi="Courier New"/>
          <w:color w:val="1F3864"/>
          <w:sz w:val="21"/>
          <w:szCs w:val="21"/>
        </w:rPr>
        <w:t xml:space="preserve">Endpoint force balance (shared atom, harmonic bond)</w:t>
      </w:r>
      <w:r>
        <w:rPr>
          <w:rFonts w:ascii="Times New Roman" w:cs="Times New Roman" w:eastAsia="Times New Roman" w:hAnsi="Times New Roman"/>
          <w:i/>
          <w:iCs/>
          <w:color w:val="666666"/>
          <w:sz w:val="18"/>
          <w:szCs w:val="18"/>
        </w:rPr>
        <w:t xml:space="preserve">   [exact]</w:t>
      </w:r>
    </w:p>
    <w:p>
      <w:pPr>
        <w:spacing w:after="20" w:before="20"/>
        <w:jc w:val="center"/>
      </w:pPr>
      <w:r>
        <w:rPr>
          <w:rFonts w:ascii="Courier New" w:cs="Courier New" w:eastAsia="Courier New" w:hAnsi="Courier New"/>
          <w:color w:val="1F3864"/>
          <w:sz w:val="21"/>
          <w:szCs w:val="21"/>
        </w:rPr>
        <w:t xml:space="preserve">|</w:t>
      </w:r>
    </w:p>
    <w:p>
      <w:pPr>
        <w:spacing w:after="20" w:before="20"/>
        <w:jc w:val="center"/>
      </w:pPr>
      <w:r>
        <w:rPr>
          <w:rFonts w:ascii="Courier New" w:cs="Courier New" w:eastAsia="Courier New" w:hAnsi="Courier New"/>
          <w:color w:val="1F3864"/>
          <w:sz w:val="21"/>
          <w:szCs w:val="21"/>
        </w:rPr>
        <w:t xml:space="preserve">v</w:t>
      </w:r>
    </w:p>
    <w:p>
      <w:pPr>
        <w:spacing w:after="20" w:before="20"/>
        <w:jc w:val="center"/>
      </w:pPr>
      <w:r>
        <w:rPr>
          <w:rFonts w:ascii="Courier New" w:cs="Courier New" w:eastAsia="Courier New" w:hAnsi="Courier New"/>
          <w:color w:val="1F3864"/>
          <w:sz w:val="21"/>
          <w:szCs w:val="21"/>
        </w:rPr>
        <w:t xml:space="preserve">J = T²/κ   +   exact XY form (1−cosΔθ)</w:t>
      </w:r>
      <w:r>
        <w:rPr>
          <w:rFonts w:ascii="Times New Roman" w:cs="Times New Roman" w:eastAsia="Times New Roman" w:hAnsi="Times New Roman"/>
          <w:i/>
          <w:iCs/>
          <w:color w:val="666666"/>
          <w:sz w:val="18"/>
          <w:szCs w:val="18"/>
        </w:rPr>
        <w:t xml:space="preserve">   [exact, confirmed]</w:t>
      </w:r>
    </w:p>
    <w:p>
      <w:pPr>
        <w:spacing w:after="20" w:before="20"/>
        <w:jc w:val="center"/>
      </w:pPr>
      <w:r>
        <w:rPr>
          <w:rFonts w:ascii="Courier New" w:cs="Courier New" w:eastAsia="Courier New" w:hAnsi="Courier New"/>
          <w:color w:val="1F3864"/>
          <w:sz w:val="21"/>
          <w:szCs w:val="21"/>
        </w:rPr>
        <w:t xml:space="preserve">|</w:t>
      </w:r>
    </w:p>
    <w:p>
      <w:pPr>
        <w:spacing w:after="20" w:before="20"/>
        <w:jc w:val="center"/>
      </w:pPr>
      <w:r>
        <w:rPr>
          <w:rFonts w:ascii="Courier New" w:cs="Courier New" w:eastAsia="Courier New" w:hAnsi="Courier New"/>
          <w:color w:val="1F3864"/>
          <w:sz w:val="21"/>
          <w:szCs w:val="21"/>
        </w:rPr>
        <w:t xml:space="preserve">v  spin-wave coarse-graining (analytic + lattice sim)</w:t>
      </w:r>
    </w:p>
    <w:p>
      <w:pPr>
        <w:spacing w:after="20" w:before="20"/>
        <w:jc w:val="center"/>
      </w:pPr>
      <w:r>
        <w:rPr>
          <w:rFonts w:ascii="Courier New" w:cs="Courier New" w:eastAsia="Courier New" w:hAnsi="Courier New"/>
          <w:color w:val="1F3864"/>
          <w:sz w:val="21"/>
          <w:szCs w:val="21"/>
        </w:rPr>
        <w:t xml:space="preserve">K = T²/(κ a) scalar   /   2T²/(κ a) director</w:t>
      </w:r>
      <w:r>
        <w:rPr>
          <w:rFonts w:ascii="Times New Roman" w:cs="Times New Roman" w:eastAsia="Times New Roman" w:hAnsi="Times New Roman"/>
          <w:i/>
          <w:iCs/>
          <w:color w:val="666666"/>
          <w:sz w:val="18"/>
          <w:szCs w:val="18"/>
        </w:rPr>
        <w:t xml:space="preserve">   [CORRECTED from 3]</w:t>
      </w:r>
    </w:p>
    <w:p>
      <w:pPr>
        <w:spacing w:after="20" w:before="20"/>
        <w:jc w:val="center"/>
      </w:pPr>
      <w:r>
        <w:rPr>
          <w:rFonts w:ascii="Courier New" w:cs="Courier New" w:eastAsia="Courier New" w:hAnsi="Courier New"/>
          <w:color w:val="1F3864"/>
          <w:sz w:val="21"/>
          <w:szCs w:val="21"/>
        </w:rPr>
        <w:t xml:space="preserve">|</w:t>
      </w:r>
    </w:p>
    <w:p>
      <w:pPr>
        <w:spacing w:after="20" w:before="20"/>
        <w:jc w:val="center"/>
      </w:pPr>
      <w:r>
        <w:rPr>
          <w:rFonts w:ascii="Courier New" w:cs="Courier New" w:eastAsia="Courier New" w:hAnsi="Courier New"/>
          <w:color w:val="1F3864"/>
          <w:sz w:val="21"/>
          <w:szCs w:val="21"/>
        </w:rPr>
        <w:t xml:space="preserve">+---------------------+---------------------+</w:t>
      </w:r>
    </w:p>
    <w:p>
      <w:pPr>
        <w:spacing w:after="20" w:before="20"/>
        <w:jc w:val="center"/>
      </w:pPr>
      <w:r>
        <w:rPr>
          <w:rFonts w:ascii="Courier New" w:cs="Courier New" w:eastAsia="Courier New" w:hAnsi="Courier New"/>
          <w:color w:val="1F3864"/>
          <w:sz w:val="21"/>
          <w:szCs w:val="21"/>
        </w:rPr>
        <w:t xml:space="preserve">v                     v                     v</w:t>
      </w:r>
    </w:p>
    <w:p>
      <w:pPr>
        <w:spacing w:after="20" w:before="20"/>
        <w:jc w:val="center"/>
      </w:pPr>
      <w:r>
        <w:rPr>
          <w:rFonts w:ascii="Courier New" w:cs="Courier New" w:eastAsia="Courier New" w:hAnsi="Courier New"/>
          <w:color w:val="1F3864"/>
          <w:sz w:val="21"/>
          <w:szCs w:val="21"/>
        </w:rPr>
        <w:t xml:space="preserve">c = 1/K               phase T² &gt; κ(/2)       α–G exponent −2</w:t>
      </w:r>
    </w:p>
    <w:p>
      <w:pPr>
        <w:spacing w:after="20" w:before="20"/>
        <w:jc w:val="center"/>
      </w:pPr>
      <w:r>
        <w:rPr>
          <w:rFonts w:ascii="Courier New" w:cs="Courier New" w:eastAsia="Courier New" w:hAnsi="Courier New"/>
          <w:color w:val="1F3864"/>
          <w:sz w:val="21"/>
          <w:szCs w:val="21"/>
        </w:rPr>
        <w:t xml:space="preserve">[rescaled]            [rescaled]            [UNCHANGED]</w:t>
      </w:r>
    </w:p>
    <w:p>
      <w:pPr>
        <w:spacing w:after="80"/>
      </w:pPr>
      <w:r>
        <w:rPr>
          <w:sz w:val="22"/>
          <w:szCs w:val="22"/>
        </w:rPr>
        <w:t xml:space="preserve"/>
      </w:r>
    </w:p>
    <w:p>
      <w:pPr>
        <w:spacing w:after="160" w:before="0" w:line="276"/>
        <w:jc w:val="both"/>
      </w:pPr>
      <w:r>
        <w:rPr>
          <w:rFonts w:ascii="Times New Roman" w:cs="Times New Roman" w:eastAsia="Times New Roman" w:hAnsi="Times New Roman"/>
          <w:sz w:val="24"/>
          <w:szCs w:val="24"/>
        </w:rPr>
        <w:t xml:space="preserve">The correction propagates only into coefficients (c, the phase threshold); the structural exponent of the α–G prediction, resting on how the couplings scale with the shared tension rather than on K, is untouched.</w:t>
      </w:r>
    </w:p>
    <w:p>
      <w:pPr>
        <w:spacing w:after="80"/>
      </w:pPr>
      <w:r>
        <w:rPr>
          <w:sz w:val="22"/>
          <w:szCs w:val="22"/>
        </w:rPr>
        <w:t xml:space="preserve"/>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Conclusion</w:t>
      </w:r>
    </w:p>
    <w:p>
      <w:pPr>
        <w:spacing w:after="160" w:before="0" w:line="276"/>
        <w:jc w:val="both"/>
      </w:pPr>
      <w:r>
        <w:rPr>
          <w:rFonts w:ascii="Times New Roman" w:cs="Times New Roman" w:eastAsia="Times New Roman" w:hAnsi="Times New Roman"/>
          <w:sz w:val="24"/>
          <w:szCs w:val="24"/>
        </w:rPr>
        <w:t xml:space="preserve">We set out to make the microscopic-to-continuum step rigorous, and in doing so found that it corrects a coefficient the programme had carried unexamined. The endpoint locking energy J = T²/κ and its exact XY form are confirmed. The coarse-graining to continuum stiffness, derived both analytically and by direct lattice simulation, gives K = T²/(κ a) for a scalar phase and 2T²/(κ a) for a two-mode director — not the factor of three previously assumed, for which we could find no derivation in either standard or rope-specific coarse-graining. We have corrected the coefficient openly, traced its limited consequences (a two-to-threefold rescaling of the electromagnetic coefficient and the phase threshold, with the structural α–G prediction unaffected), and shown that every relation’s form survives. The programme is not weakened by this; it is strengthened, because a framework that audits its own coefficients and reports the result — including where that result is a correction — is behaving as a scientific programme should. The one option we refused was to preserve the factor of three silently.</w:t>
      </w:r>
    </w:p>
    <w:p>
      <w:pPr>
        <w:spacing w:after="80"/>
      </w:pPr>
      <w:r>
        <w:rPr>
          <w:sz w:val="22"/>
          <w:szCs w:val="22"/>
        </w:rPr>
        <w:t xml:space="preserve"/>
      </w:r>
    </w:p>
    <w:p>
      <w:r>
        <w:rPr>
          <w:b/>
        </w:rPr>
        <w:t>Registered Claims in This Paper</w:t>
      </w:r>
    </w:p>
    <w:p>
      <w:r>
        <w:t>Each statement below is traceable to the machine-readable registry (claims.yaml), the corpus's single source of truth. Status labels: Derived (follows from stated mechanics), Modeled (reproduces data with declared inputs), EFT-constrained (bounded by effective-theory limits), Conjecture (proposed, not derived), Open (registered unsolved problem), Failed (falsified, kept as a finding). Where a claim is code-backed, the named benchmark reruns it.</w:t>
      </w:r>
    </w:p>
    <w:p>
      <w:r>
        <w:rPr>
          <w:b/>
        </w:rPr>
        <w:t xml:space="preserve">• FND-001 [Derived]: </w:t>
      </w:r>
      <w:r>
        <w:t>Endpoint force-balance gives locking energy J = T^2/kappa  [benchmark: benchmarks/micromech/coarse_graining_stiffness.py]</w:t>
      </w:r>
    </w:p>
    <w:p>
      <w:r>
        <w:rPr>
          <w:b/>
        </w:rPr>
        <w:t xml:space="preserve">• FND-002 [Derived]: </w:t>
      </w:r>
      <w:r>
        <w:t>Coarse-graining coefficient K = J/a scalar  [benchmark: benchmarks/micromech/coarse_graining_stiffness.py]</w:t>
      </w:r>
    </w:p>
    <w:p>
      <w:r>
        <w:rPr>
          <w:b/>
        </w:rPr>
        <w:t xml:space="preserve">• FND-MATTER-001 [Open]: </w:t>
      </w:r>
      <w:r>
        <w:t>REFRAMED via Gaede's atom</w:t>
      </w:r>
    </w:p>
    <w:p>
      <w:r>
        <w:rPr>
          <w:b/>
        </w:rPr>
        <w:t xml:space="preserve">• FND-MATTER-002 [Modeled]: </w:t>
      </w:r>
      <w:r>
        <w:t>Star-convergence geometry gives R ~ a*sqrt  [benchmark: benchmarks/em/star_radius_scaling.py]</w:t>
      </w:r>
    </w:p>
    <w:p/>
    <w:p>
      <w:r>
        <w:rPr>
          <w:b/>
        </w:rPr>
        <w:t xml:space="preserve">• FND-MATTER-003 [Open]: </w:t>
      </w:r>
      <w:r>
        <w:t>Derivation of the atomic scale is BLOCKED</w:t>
      </w:r>
    </w:p>
    <w:p/>
    <w:p>
      <w:r>
        <w:t>Programme credit: the core Rope Hypothesis is due to Bill Gaede; this work develops and formalises it. Computational collaboration and drafting by Claude (Anthropic). Correspondence to palmer100@gmail.com.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i/>
      <w:iCs/>
      <w:color w:val="2E4057"/>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2026-07-04T20:56:02.148Z</dcterms:created>
  <dcterms:modified xsi:type="dcterms:W3CDTF">2026-07-04T20:56:02.159Z</dcterms:modified>
</cp:coreProperties>
</file>

<file path=docProps/custom.xml><?xml version="1.0" encoding="utf-8"?>
<Properties xmlns="http://schemas.openxmlformats.org/officeDocument/2006/custom-properties" xmlns:vt="http://schemas.openxmlformats.org/officeDocument/2006/docPropsVTypes"/>
</file>