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State of the Programme — 17 July 2026</w:t>
      </w:r>
    </w:p>
    <w:p>
      <w:r>
        <w:rPr>
          <w:b/>
        </w:rPr>
        <w:t>What this is:</w:t>
      </w:r>
      <w:r>
        <w:t xml:space="preserve"> Bill Gaede's Rope Hypothesis developed into a machine-verified research corpus: 122 registered claims (108 code-backed, all passing), 61 papers, 76 benchmarks. Every claim carries a status — Derived / Modeled / EFT-constrained / Conjecture / Failed / Open — and failures are kept as findings.</w:t>
      </w:r>
    </w:p>
    <w:p>
      <w:r>
        <w:rPr>
          <w:b/>
        </w:rPr>
        <w:t>Scope (PM-005):</w:t>
      </w:r>
      <w:r>
        <w:t xml:space="preserve"> a theory of ORDINARY MATTER — the first generation (electron, up, down), their composites, and the photon — plus emergent relativity and a developing gravity sector. It claims nothing about heavier generations.</w:t>
      </w:r>
    </w:p>
    <w:p>
      <w:r>
        <w:rPr>
          <w:b/>
        </w:rPr>
        <w:t>The derived core, by sector</w:t>
      </w:r>
    </w:p>
    <w:p>
      <w:pPr>
        <w:pStyle w:val="ListBullet"/>
      </w:pPr>
      <w:r>
        <w:rPr>
          <w:b/>
        </w:rPr>
        <w:t>EM / Maxwell:</w:t>
      </w:r>
      <w:r>
        <w:t xml:space="preserve"> charge = winding (topological); Maxwell structure from network mechanics; absolute normalization (Σ) measured, not derived.</w:t>
      </w:r>
    </w:p>
    <w:p>
      <w:pPr>
        <w:pStyle w:val="ListBullet"/>
      </w:pPr>
      <w:r>
        <w:rPr>
          <w:b/>
        </w:rPr>
        <w:t>Optics:</w:t>
      </w:r>
      <w:r>
        <w:t xml:space="preserve"> 10/10 phenomena derived; linear light exactly blind to extensibility.</w:t>
      </w:r>
    </w:p>
    <w:p>
      <w:pPr>
        <w:pStyle w:val="ListBullet"/>
      </w:pPr>
      <w:r>
        <w:rPr>
          <w:b/>
        </w:rPr>
        <w:t>Chemistry:</w:t>
      </w:r>
      <w:r>
        <w:t xml:space="preserve"> bond mechanism quantitative (mode overlap); σ&gt;π; bond length from the core; parameter-free H₂ vibration check passes at 16%; molecular GEOMETRY opened (CHEM-GEO-001): heteronuclear additivity derived (blind: 7–16% high, contraction = next order); phase-blocking + orthogonality theorems give bent H₂O (derived; H₂S at 92° supports); CO₂ collinear (Modeled).</w:t>
      </w:r>
    </w:p>
    <w:p>
      <w:pPr>
        <w:pStyle w:val="ListBullet"/>
      </w:pPr>
      <w:r>
        <w:rPr>
          <w:b/>
        </w:rPr>
        <w:t>Nuclear:</w:t>
      </w:r>
      <w:r>
        <w:t xml:space="preserve"> Yukawa FORM exact (screened-mode Green's function); atomic masses predicted C-12→U-238 within 0.15% of mass with ONE calibrated constant; residuals 80–86% traced to declared quantum omissions.</w:t>
      </w:r>
    </w:p>
    <w:p>
      <w:pPr>
        <w:pStyle w:val="ListBullet"/>
      </w:pPr>
      <w:r>
        <w:rPr>
          <w:b/>
        </w:rPr>
        <w:t>Magnetism:</w:t>
      </w:r>
      <w:r>
        <w:t xml:space="preserve"> E/M as one rope (along/around); force signs derived — BOTH halves: magnetic (gap geometry, EM-012) and electrostatic (constraint-source superposition, EM-015); permanent magnets. Field-tensor dictionary assembled (EM-016); GG-005 upgraded Conjecture → Modeled.</w:t>
      </w:r>
    </w:p>
    <w:p>
      <w:pPr>
        <w:pStyle w:val="ListBullet"/>
      </w:pPr>
      <w:r>
        <w:rPr>
          <w:b/>
        </w:rPr>
        <w:t>Matter:</w:t>
      </w:r>
      <w:r>
        <w:t xml:space="preserve"> atoms sit at the impenetrability coverage threshold (fixes N); the mesh scale a is proven irreducible.</w:t>
      </w:r>
    </w:p>
    <w:p>
      <w:pPr>
        <w:pStyle w:val="ListBullet"/>
      </w:pPr>
      <w:r>
        <w:rPr>
          <w:b/>
        </w:rPr>
        <w:t>Relativity:</w:t>
      </w:r>
      <w:r>
        <w:t xml:space="preserve"> emergent, transverse-sector only; fundamental preferred frame; matter cannot access the lattice frame.</w:t>
      </w:r>
    </w:p>
    <w:p>
      <w:pPr>
        <w:pStyle w:val="ListBullet"/>
      </w:pPr>
      <w:r>
        <w:rPr>
          <w:b/>
        </w:rPr>
        <w:t>Gravity:</w:t>
      </w:r>
      <w:r>
        <w:t xml:space="preserve"> MATURE NEGATIVE RESULT — Newtonian mechanism derived (Poisson/1/r from force balance; flux-conservation 1/r²); zero-point theorem (uniform vacuum is flat); classical Einstein completion FALSIFIED within the defined response class (γ ∈ [−1,0] vs measured 1; 0.44″ vs 1.75″; no-monopole lemma; sourcing exhaustion under explicit hypotheses H1–H6); quantum-induced completion the leading conjecture, underived.</w:t>
      </w:r>
    </w:p>
    <w:p>
      <w:pPr>
        <w:pStyle w:val="ListBullet"/>
      </w:pPr>
      <w:r>
        <w:rPr>
          <w:b/>
        </w:rPr>
        <w:t>Particle masses:</w:t>
      </w:r>
      <w:r>
        <w:t xml:space="preserve"> structure derived (massless photon; composition rule; mass = mode energy); values are inputs — proven, not presumed (knot-count refuted for leptons; excitation spectra fail without tuning).</w:t>
      </w:r>
    </w:p>
    <w:p>
      <w:pPr>
        <w:pStyle w:val="ListBullet"/>
      </w:pPr>
      <w:r>
        <w:rPr>
          <w:b/>
        </w:rPr>
        <w:t>Quantum boundary:</w:t>
      </w:r>
      <w:r>
        <w:t xml:space="preserve"> local accounts theorem-blocked (CHSH ≤ 2, derived); the substrate has 4 of 5 necessary conditions for a nonlocal (pilot-wave-type) account — the fifth (Born-equilibrium statistics) and all sufficient conditions absent.</w:t>
      </w:r>
    </w:p>
    <w:p>
      <w:r>
        <w:rPr>
          <w:b/>
        </w:rPr>
        <w:t>The constants ledger</w:t>
      </w:r>
    </w:p>
    <w:p>
      <w:r>
        <w:rPr>
          <w:b/>
        </w:rPr>
        <w:t>Derived:</w:t>
      </w:r>
      <w:r>
        <w:t xml:space="preserve"> forms, ratios, signs, thresholds, composition rules, one geometric surface coefficient (a_S/a_V = 1.108 vs 1.130), γ = 1/sin²θ. </w:t>
      </w:r>
      <w:r>
        <w:rPr>
          <w:b/>
        </w:rPr>
        <w:t>Inputs (irreducible or open):</w:t>
      </w:r>
      <w:r>
        <w:t xml:space="preserve"> mesh scale a; ℏ; electron mass; nucleon mass unit; k's value; Σ (bounded by experiment); G (provably reduces to the mass question); the nuclear bond depth ε (calibrated once).</w:t>
      </w:r>
    </w:p>
    <w:p>
      <w:r>
        <w:rPr>
          <w:b/>
        </w:rPr>
        <w:t>Experiment: the live account</w:t>
      </w:r>
    </w:p>
    <w:p>
      <w:pPr>
        <w:pStyle w:val="ListBullet"/>
      </w:pPr>
      <w:r>
        <w:rPr>
          <w:b/>
        </w:rPr>
        <w:t>PVLAS excluded our identification</w:t>
      </w:r>
      <w:r>
        <w:t xml:space="preserve"> (Σ ≈ 1.5×10²⁵ overshot the birefringence bound ~570×): the corrected bound is Σ ≳ 8.6×10²⁷(k/T₀−1) J/m³; ATLAS light-by-light is genuine QED. *The theory has taken a real loss against real data.*</w:t>
      </w:r>
    </w:p>
    <w:p>
      <w:pPr>
        <w:pStyle w:val="ListBullet"/>
      </w:pPr>
      <w:r>
        <w:rPr>
          <w:b/>
        </w:rPr>
        <w:t>Live prediction:</w:t>
      </w:r>
      <w:r>
        <w:t xml:space="preserve"> vacuum birefringence with NEGATIVE index shifts in a 3:1 ratio (QED: positive, 7:4) — sitting in the window between current bounds and QED sensitivity. Decided by experiment, not preference.</w:t>
      </w:r>
    </w:p>
    <w:p>
      <w:pPr>
        <w:pStyle w:val="ListBullet"/>
      </w:pPr>
      <w:r>
        <w:rPr>
          <w:b/>
        </w:rPr>
        <w:t>The vacuum-tension problem:</w:t>
      </w:r>
      <w:r>
        <w:t xml:space="preserve"> Σ implies an effective vacuum density ≥ ~10¹¹ kg/m³ that must not gravitate. Static half resolved by the zero-point theorem (holds for any Σ); dynamic/cosmological half open.</w:t>
      </w:r>
    </w:p>
    <w:p>
      <w:r>
        <w:rPr>
          <w:b/>
        </w:rPr>
        <w:t>The honest walls</w:t>
      </w:r>
    </w:p>
    <w:p>
      <w:r>
        <w:t>Gravity tensor structure (the next campaign); Born rule + quantum equilibrium (two miracles; approach only with a pre-committed bar); ℏ (do not chase); hierarchy = the mass question (one problem, not two); cosmological zero point; K_c derivation.</w:t>
      </w:r>
    </w:p>
    <w:p>
      <w:r>
        <w:rPr>
          <w:b/>
        </w:rPr>
        <w:t>Corrections on the record (credibility assets)</w:t>
      </w:r>
    </w:p>
    <w:p>
      <w:r>
        <w:t>Twist-gap mechanism retracted within one turn (gauge argument forbids it); Coulomb- instantaneity bonus self-downgraded; QB-006 corrected within one turn (Mark: the statistical fifth condition); PVLAS correction of the Σ identification; three stale Σ references caught and superseded in this consolidation pass.</w:t>
      </w:r>
    </w:p>
    <w:p>
      <w:r>
        <w:rPr>
          <w:b/>
        </w:rPr>
        <w:t>Method</w:t>
      </w:r>
    </w:p>
    <w:p>
      <w:r>
        <w:t>Human physical judgment (scope calls, postulate decisions, independent-determination demands, the Born-rule correction) + machine verification (compute before prose; anti-fitting bars fixed in advance; negatives registered). The loop is the asset.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