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20" w:line="276"/>
        <w:jc w:val="center"/>
      </w:pPr>
      <w:r>
        <w:rPr>
          <w:rFonts w:ascii="Times New Roman" w:cs="Times New Roman" w:eastAsia="Times New Roman" w:hAnsi="Times New Roman"/>
          <w:b/>
          <w:bCs/>
          <w:sz w:val="40"/>
          <w:szCs w:val="40"/>
        </w:rPr>
        <w:t xml:space="preserve">The Rope Programme</w:t>
      </w:r>
    </w:p>
    <w:p>
      <w:pPr>
        <w:spacing w:after="100" w:before="0" w:line="276"/>
        <w:jc w:val="center"/>
      </w:pPr>
      <w:r>
        <w:rPr>
          <w:rFonts w:ascii="Times New Roman" w:cs="Times New Roman" w:eastAsia="Times New Roman" w:hAnsi="Times New Roman"/>
          <w:b/>
          <w:bCs/>
          <w:sz w:val="22"/>
          <w:szCs w:val="22"/>
        </w:rPr>
        <w:t xml:space="preserve">Programme Overview — Assumptions, Structure, Maturity, and Open Problems</w:t>
      </w:r>
    </w:p>
    <w:p>
      <w:pPr>
        <w:spacing w:after="80" w:before="0" w:line="276"/>
        <w:jc w:val="center"/>
      </w:pPr>
      <w:r>
        <w:rPr>
          <w:rFonts w:ascii="Times New Roman" w:cs="Times New Roman" w:eastAsia="Times New Roman" w:hAnsi="Times New Roman"/>
          <w:i/>
          <w:iCs/>
          <w:color w:val="666666"/>
          <w:sz w:val="20"/>
          <w:szCs w:val="20"/>
        </w:rPr>
        <w:t xml:space="preserve">The front door to the corpus — generated from the claim registry and computed roadmap</w:t>
      </w:r>
    </w:p>
    <w:p>
      <w:pPr>
        <w:spacing w:after="60" w:before="0" w:line="276"/>
        <w:jc w:val="center"/>
      </w:pPr>
      <w:r>
        <w:rPr>
          <w:rFonts w:ascii="Times New Roman" w:cs="Times New Roman" w:eastAsia="Times New Roman" w:hAnsi="Times New Roman"/>
          <w:color w:val="666666"/>
          <w:sz w:val="20"/>
          <w:szCs w:val="20"/>
        </w:rPr>
        <w:t xml:space="preserve">Mark Palmer  ·  with computational collaboration by Claude (Anthropic)  ·  palmer100@gmail.com</w:t>
      </w:r>
    </w:p>
    <w:p>
      <w:pPr>
        <w:spacing w:after="120" w:before="0" w:line="276"/>
        <w:jc w:val="center"/>
      </w:pPr>
      <w:r>
        <w:rPr>
          <w:rFonts w:ascii="Times New Roman" w:cs="Times New Roman" w:eastAsia="Times New Roman" w:hAnsi="Times New Roman"/>
          <w:i/>
          <w:iCs/>
          <w:color w:val="666666"/>
          <w:sz w:val="18"/>
          <w:szCs w:val="18"/>
        </w:rPr>
        <w:t xml:space="preserve">Programme credit: the core Rope Hypothesis is due to Bill Gaede; this corpus develops and formalises it.</w:t>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40" w:before="320"/>
      </w:pPr>
      <w:r>
        <w:rPr>
          <w:rFonts w:ascii="Times New Roman" w:cs="Times New Roman" w:eastAsia="Times New Roman" w:hAnsi="Times New Roman"/>
          <w:b/>
          <w:bCs/>
          <w:color w:val="1F3864"/>
          <w:sz w:val="28"/>
          <w:szCs w:val="28"/>
        </w:rPr>
        <w:t xml:space="preserve">What this programme is</w:t>
      </w:r>
    </w:p>
    <w:p>
      <w:pPr>
        <w:spacing w:after="160" w:before="0" w:line="276"/>
        <w:jc w:val="both"/>
      </w:pPr>
      <w:r>
        <w:rPr>
          <w:rFonts w:ascii="Times New Roman" w:cs="Times New Roman" w:eastAsia="Times New Roman" w:hAnsi="Times New Roman"/>
          <w:sz w:val="24"/>
          <w:szCs w:val="24"/>
        </w:rPr>
        <w:t xml:space="preserve">The Rope Hypothesis is a speculative classical model in which interactions are carried by physical strands under tension. This corpus develops its classical continuum sector into a reproducible research programme: a coherent chain from microscopic mechanics up through electromagnetism, optics, and thermodynamics, with every principal claim assigned a status and, wherever possible, backed by an executable benchmark.</w:t>
      </w:r>
    </w:p>
    <w:p>
      <w:pPr>
        <w:spacing w:after="160" w:before="0" w:line="276"/>
        <w:jc w:val="both"/>
      </w:pPr>
      <w:r>
        <w:rPr>
          <w:rFonts w:ascii="Times New Roman" w:cs="Times New Roman" w:eastAsia="Times New Roman" w:hAnsi="Times New Roman"/>
          <w:sz w:val="24"/>
          <w:szCs w:val="24"/>
        </w:rPr>
        <w:t xml:space="preserve">The programme’s discipline is its defining feature. Derived results, empirical inputs, and open problems are kept strictly separate; corrections and negative results are preserved as visibly as successes; and the mathematics is kept distinct from the ontology it proposes. This overview is itself generated from the corpus’s machinery, so its figures and tables cannot drift from the papers they summarise.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4"/>
              <w:left w:val="single" w:color="1F3864" w:sz="18"/>
              <w:bottom w:val="single" w:color="1F3864" w:sz="4"/>
              <w:right w:val="single" w:color="1F3864" w:sz="4"/>
            </w:tcBorders>
            <w:shd w:fill="F2F5F9" w:val="clear"/>
            <w:tcMar>
              <w:top w:type="dxa" w:w="110"/>
              <w:left w:type="dxa" w:w="200"/>
              <w:bottom w:type="dxa" w:w="110"/>
              <w:right w:type="dxa" w:w="160"/>
            </w:tcMar>
          </w:tcPr>
          <w:p>
            <w:pPr>
              <w:spacing w:after="60"/>
            </w:pPr>
            <w:r>
              <w:rPr>
                <w:rFonts w:ascii="Times New Roman" w:cs="Times New Roman" w:eastAsia="Times New Roman" w:hAnsi="Times New Roman"/>
                <w:b/>
                <w:bCs/>
                <w:color w:val="1F3864"/>
                <w:sz w:val="22"/>
                <w:szCs w:val="22"/>
              </w:rPr>
              <w:t xml:space="preserve">How to read the programme honestly</w:t>
            </w:r>
          </w:p>
          <w:p>
            <w:pPr>
              <w:spacing w:after="50"/>
              <w:jc w:val="both"/>
            </w:pPr>
            <w:r>
              <w:rPr>
                <w:rFonts w:ascii="Times New Roman" w:cs="Times New Roman" w:eastAsia="Times New Roman" w:hAnsi="Times New Roman"/>
                <w:sz w:val="21"/>
                <w:szCs w:val="21"/>
              </w:rPr>
              <w:t xml:space="preserve">The strongest posture here is not any single prediction. It is that the classical core can be independently audited — sector by sector, claim by claim — and that its boundaries are stated rather than blurred. The failed results and open problems below are as much a part of the programme as the derived ones.</w:t>
            </w:r>
          </w:p>
        </w:tc>
      </w:tr>
    </w:tbl>
    <w:p>
      <w:pPr>
        <w:spacing w:after="80"/>
      </w:pPr>
      <w:r>
        <w:rPr>
          <w:sz w:val="22"/>
          <w:szCs w:val="22"/>
        </w:rPr>
        <w:t xml:space="preserve"/>
      </w:r>
    </w:p>
    <w:p>
      <w:pPr>
        <w:pStyle w:val="Heading1"/>
        <w:spacing w:after="140" w:before="320"/>
      </w:pPr>
      <w:r>
        <w:rPr>
          <w:rFonts w:ascii="Times New Roman" w:cs="Times New Roman" w:eastAsia="Times New Roman" w:hAnsi="Times New Roman"/>
          <w:b/>
          <w:bCs/>
          <w:color w:val="1F3864"/>
          <w:sz w:val="28"/>
          <w:szCs w:val="28"/>
        </w:rPr>
        <w:t xml:space="preserve">Corpus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both"/>
            </w:pPr>
            <w:r>
              <w:rPr>
                <w:rFonts w:ascii="Times New Roman" w:cs="Times New Roman" w:eastAsia="Times New Roman" w:hAnsi="Times New Roman"/>
                <w:b/>
                <w:bCs/>
                <w:sz w:val="20"/>
                <w:szCs w:val="20"/>
              </w:rPr>
              <w:t xml:space="preserve">Measure</w:t>
            </w:r>
          </w:p>
        </w:tc>
        <w:tc>
          <w:tcPr>
            <w:tcW w:type="dxa" w:w="59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both"/>
            </w:pPr>
            <w:r>
              <w:rPr>
                <w:rFonts w:ascii="Times New Roman" w:cs="Times New Roman" w:eastAsia="Times New Roman" w:hAnsi="Times New Roman"/>
                <w:b/>
                <w:bCs/>
                <w:sz w:val="20"/>
                <w:szCs w:val="20"/>
              </w:rPr>
              <w:t xml:space="preserve">Value</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Bundled papers</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47</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Reproducible benchmarks</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21</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Registered claims</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54 (44 code-backed and machine-verified)</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Status distribution</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Derived 40, EFT-constrained 1, Modeled 5, Conjecture 3, Failed 3, Open 2</w:t>
            </w:r>
          </w:p>
        </w:tc>
      </w:tr>
    </w:tbl>
    <w:p>
      <w:pPr>
        <w:spacing w:after="160" w:before="0" w:line="276"/>
        <w:jc w:val="both"/>
      </w:pPr>
      <w:r>
        <w:rPr>
          <w:rFonts w:ascii="Times New Roman" w:cs="Times New Roman" w:eastAsia="Times New Roman" w:hAnsi="Times New Roman"/>
          <w:sz w:val="22"/>
          <w:szCs w:val="22"/>
        </w:rPr>
        <w:t xml:space="preserve">Every code-backed claim can be re-run in one command: make verify (runs each benchmark the registry references), or python tools/verify_corpus.py.</w:t>
      </w:r>
    </w:p>
    <w:p>
      <w:pPr>
        <w:spacing w:after="80"/>
      </w:pPr>
      <w:r>
        <w:rPr>
          <w:sz w:val="22"/>
          <w:szCs w:val="22"/>
        </w:rPr>
        <w:t xml:space="preserve"/>
      </w:r>
    </w:p>
    <w:p>
      <w:pPr>
        <w:pStyle w:val="Heading1"/>
        <w:spacing w:after="140" w:before="320"/>
      </w:pPr>
      <w:r>
        <w:rPr>
          <w:rFonts w:ascii="Times New Roman" w:cs="Times New Roman" w:eastAsia="Times New Roman" w:hAnsi="Times New Roman"/>
          <w:b/>
          <w:bCs/>
          <w:color w:val="1F3864"/>
          <w:sz w:val="28"/>
          <w:szCs w:val="28"/>
        </w:rPr>
        <w:t xml:space="preserve">The classical continuum chain</w:t>
      </w:r>
    </w:p>
    <w:p>
      <w:pPr>
        <w:spacing w:after="160" w:before="0" w:line="276"/>
        <w:jc w:val="both"/>
      </w:pPr>
      <w:r>
        <w:rPr>
          <w:rFonts w:ascii="Times New Roman" w:cs="Times New Roman" w:eastAsia="Times New Roman" w:hAnsi="Times New Roman"/>
          <w:sz w:val="24"/>
          <w:szCs w:val="24"/>
        </w:rPr>
        <w:t xml:space="preserve">The programme’s spine is a single geometric structure developed level by level. Each link below is a Mature, benchmark-backed sector: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F4F4EF" w:val="clear"/>
            <w:tcMar>
              <w:top w:type="dxa" w:w="110"/>
              <w:left w:type="dxa" w:w="180"/>
              <w:bottom w:type="dxa" w:w="110"/>
              <w:right w:type="dxa" w:w="140"/>
            </w:tcMar>
          </w:tcPr>
          <w:p>
            <w:pPr>
              <w:spacing w:after="16"/>
            </w:pPr>
            <w:r>
              <w:rPr>
                <w:rFonts w:ascii="Courier New" w:cs="Courier New" w:eastAsia="Courier New" w:hAnsi="Courier New"/>
                <w:sz w:val="19"/>
                <w:szCs w:val="19"/>
              </w:rPr>
              <w:t xml:space="preserve">Microscopic Mechanics</w:t>
            </w:r>
          </w:p>
          <w:p>
            <w:pPr>
              <w:spacing w:after="16"/>
            </w:pPr>
            <w:r>
              <w:rPr>
                <w:rFonts w:ascii="Courier New" w:cs="Courier New" w:eastAsia="Courier New" w:hAnsi="Courier New"/>
                <w:sz w:val="19"/>
                <w:szCs w:val="19"/>
              </w:rPr>
              <w:t xml:space="preserve">   -&gt; Homogenization (Gamma-convergence)</w:t>
            </w:r>
          </w:p>
          <w:p>
            <w:pPr>
              <w:spacing w:after="16"/>
            </w:pPr>
            <w:r>
              <w:rPr>
                <w:rFonts w:ascii="Courier New" w:cs="Courier New" w:eastAsia="Courier New" w:hAnsi="Courier New"/>
                <w:sz w:val="19"/>
                <w:szCs w:val="19"/>
              </w:rPr>
              <w:t xml:space="preserve">        -&gt; Effective Field Theory</w:t>
            </w:r>
          </w:p>
          <w:p>
            <w:pPr>
              <w:spacing w:after="16"/>
            </w:pPr>
            <w:r>
              <w:rPr>
                <w:rFonts w:ascii="Courier New" w:cs="Courier New" w:eastAsia="Courier New" w:hAnsi="Courier New"/>
                <w:sz w:val="19"/>
                <w:szCs w:val="19"/>
              </w:rPr>
              <w:t xml:space="preserve">             -&gt; Electromagnetism</w:t>
            </w:r>
          </w:p>
          <w:p>
            <w:pPr>
              <w:spacing w:after="16"/>
            </w:pPr>
            <w:r>
              <w:rPr>
                <w:rFonts w:ascii="Courier New" w:cs="Courier New" w:eastAsia="Courier New" w:hAnsi="Courier New"/>
                <w:sz w:val="19"/>
                <w:szCs w:val="19"/>
              </w:rPr>
              <w:t xml:space="preserve">                  -&gt; Classical Optics -&gt; Interface Optics</w:t>
            </w:r>
          </w:p>
          <w:p>
            <w:pPr>
              <w:spacing w:after="16"/>
            </w:pPr>
            <w:r>
              <w:rPr>
                <w:rFonts w:ascii="Courier New" w:cs="Courier New" w:eastAsia="Courier New" w:hAnsi="Courier New"/>
                <w:sz w:val="19"/>
                <w:szCs w:val="19"/>
              </w:rPr>
              <w:t xml:space="preserve">   -&gt; Defect Theory (2D + 3D)   [same functional]</w:t>
            </w:r>
          </w:p>
          <w:p>
            <w:pPr>
              <w:spacing w:after="16"/>
            </w:pPr>
            <w:r>
              <w:rPr>
                <w:rFonts w:ascii="Courier New" w:cs="Courier New" w:eastAsia="Courier New" w:hAnsi="Courier New"/>
                <w:sz w:val="19"/>
                <w:szCs w:val="19"/>
              </w:rPr>
              <w:t xml:space="preserve">   -&gt; Statistical Mechanics     [BKT = defect-gas unbinding]</w:t>
            </w:r>
          </w:p>
          <w:p>
            <w:pPr>
              <w:spacing w:after="16"/>
            </w:pPr>
            <w:r>
              <w:rPr>
                <w:rFonts w:ascii="Courier New" w:cs="Courier New" w:eastAsia="Courier New" w:hAnsi="Courier New"/>
                <w:sz w:val="19"/>
                <w:szCs w:val="19"/>
              </w:rPr>
              <w:t xml:space="preserve"/>
            </w:r>
          </w:p>
          <w:p>
            <w:pPr>
              <w:spacing w:after="16"/>
            </w:pPr>
            <w:r>
              <w:rPr>
                <w:rFonts w:ascii="Courier New" w:cs="Courier New" w:eastAsia="Courier New" w:hAnsi="Courier New"/>
                <w:sz w:val="19"/>
                <w:szCs w:val="19"/>
              </w:rPr>
              <w:t xml:space="preserve">Unified by: Gauge Geometry</w:t>
            </w:r>
          </w:p>
          <w:p>
            <w:pPr>
              <w:spacing w:after="16"/>
            </w:pPr>
            <w:r>
              <w:rPr>
                <w:rFonts w:ascii="Courier New" w:cs="Courier New" w:eastAsia="Courier New" w:hAnsi="Courier New"/>
                <w:sz w:val="19"/>
                <w:szCs w:val="19"/>
              </w:rPr>
              <w:t xml:space="preserve">   (bundle -&gt; connection -&gt; curvature F=dA -&gt; topology)</w:t>
            </w:r>
          </w:p>
        </w:tc>
      </w:tr>
    </w:tbl>
    <w:p>
      <w:pPr>
        <w:spacing w:after="160" w:before="0" w:line="276"/>
        <w:jc w:val="both"/>
      </w:pPr>
      <w:r>
        <w:rPr>
          <w:rFonts w:ascii="Times New Roman" w:cs="Times New Roman" w:eastAsia="Times New Roman" w:hAnsi="Times New Roman"/>
          <w:sz w:val="24"/>
          <w:szCs w:val="24"/>
        </w:rPr>
        <w:t xml:space="preserve">The gauge-geometry paper is the mathematical reference showing these are one structure; the machine-readable dependency graph (docs/dependency_graph.txt) encodes the links claim by claim.</w:t>
      </w:r>
    </w:p>
    <w:p>
      <w:pPr>
        <w:spacing w:after="80"/>
      </w:pPr>
      <w:r>
        <w:rPr>
          <w:sz w:val="22"/>
          <w:szCs w:val="22"/>
        </w:rPr>
        <w:t xml:space="preserve"/>
      </w:r>
    </w:p>
    <w:p>
      <w:pPr>
        <w:pStyle w:val="Heading1"/>
        <w:spacing w:after="140" w:before="320"/>
      </w:pPr>
      <w:r>
        <w:rPr>
          <w:rFonts w:ascii="Times New Roman" w:cs="Times New Roman" w:eastAsia="Times New Roman" w:hAnsi="Times New Roman"/>
          <w:b/>
          <w:bCs/>
          <w:color w:val="1F3864"/>
          <w:sz w:val="28"/>
          <w:szCs w:val="28"/>
        </w:rPr>
        <w:t xml:space="preserve">Sector maturity (computed)</w:t>
      </w:r>
    </w:p>
    <w:p>
      <w:pPr>
        <w:spacing w:after="160" w:before="0" w:line="276"/>
        <w:jc w:val="both"/>
      </w:pPr>
      <w:r>
        <w:rPr>
          <w:rFonts w:ascii="Times New Roman" w:cs="Times New Roman" w:eastAsia="Times New Roman" w:hAnsi="Times New Roman"/>
          <w:sz w:val="24"/>
          <w:szCs w:val="24"/>
        </w:rPr>
        <w:t xml:space="preserve">Maturity is computed from each sector’s claim statuses and benchmark coverage, not hand-assigned, and cross-checked against stated readiness. There are currently no readiness-vs-evidence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2500"/>
        <w:gridCol w:w="1200"/>
        <w:gridCol w:w="1200"/>
        <w:gridCol w:w="1200"/>
      </w:tblGrid>
      <w:tr>
        <w:tc>
          <w:tcPr>
            <w:tcW w:type="dxa" w:w="32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both"/>
            </w:pPr>
            <w:r>
              <w:rPr>
                <w:rFonts w:ascii="Times New Roman" w:cs="Times New Roman" w:eastAsia="Times New Roman" w:hAnsi="Times New Roman"/>
                <w:b/>
                <w:bCs/>
                <w:sz w:val="20"/>
                <w:szCs w:val="20"/>
              </w:rPr>
              <w:t xml:space="preserve">Sector</w:t>
            </w:r>
          </w:p>
        </w:tc>
        <w:tc>
          <w:tcPr>
            <w:tcW w:type="dxa" w:w="25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both"/>
            </w:pPr>
            <w:r>
              <w:rPr>
                <w:rFonts w:ascii="Times New Roman" w:cs="Times New Roman" w:eastAsia="Times New Roman" w:hAnsi="Times New Roman"/>
                <w:b/>
                <w:bCs/>
                <w:sz w:val="20"/>
                <w:szCs w:val="20"/>
              </w:rPr>
              <w:t xml:space="preserve">Maturity</w:t>
            </w:r>
          </w:p>
        </w:tc>
        <w:tc>
          <w:tcPr>
            <w:tcW w:type="dxa" w:w="1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both"/>
            </w:pPr>
            <w:r>
              <w:rPr>
                <w:rFonts w:ascii="Times New Roman" w:cs="Times New Roman" w:eastAsia="Times New Roman" w:hAnsi="Times New Roman"/>
                <w:b/>
                <w:bCs/>
                <w:sz w:val="20"/>
                <w:szCs w:val="20"/>
              </w:rPr>
              <w:t xml:space="preserve">Claims</w:t>
            </w:r>
          </w:p>
        </w:tc>
        <w:tc>
          <w:tcPr>
            <w:tcW w:type="dxa" w:w="1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both"/>
            </w:pPr>
            <w:r>
              <w:rPr>
                <w:rFonts w:ascii="Times New Roman" w:cs="Times New Roman" w:eastAsia="Times New Roman" w:hAnsi="Times New Roman"/>
                <w:b/>
                <w:bCs/>
                <w:sz w:val="20"/>
                <w:szCs w:val="20"/>
              </w:rPr>
              <w:t xml:space="preserve">Derived</w:t>
            </w:r>
          </w:p>
        </w:tc>
        <w:tc>
          <w:tcPr>
            <w:tcW w:type="dxa" w:w="1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jc w:val="both"/>
            </w:pPr>
            <w:r>
              <w:rPr>
                <w:rFonts w:ascii="Times New Roman" w:cs="Times New Roman" w:eastAsia="Times New Roman" w:hAnsi="Times New Roman"/>
                <w:b/>
                <w:bCs/>
                <w:sz w:val="20"/>
                <w:szCs w:val="20"/>
              </w:rPr>
              <w:t xml:space="preserve">Benchmarked</w:t>
            </w:r>
          </w:p>
        </w:tc>
      </w:tr>
      <w:tr>
        <w:tc>
          <w:tcPr>
            <w:tcW w:type="dxa" w:w="32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Microscopic Mechanics &amp; Foundations</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Mature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13</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12</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12</w:t>
            </w:r>
          </w:p>
        </w:tc>
      </w:tr>
      <w:tr>
        <w:tc>
          <w:tcPr>
            <w:tcW w:type="dxa" w:w="32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Renormalization / EFT</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Mature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1</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1</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1</w:t>
            </w:r>
          </w:p>
        </w:tc>
      </w:tr>
      <w:tr>
        <w:tc>
          <w:tcPr>
            <w:tcW w:type="dxa" w:w="32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Electromagnetism</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Mature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7</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5</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7</w:t>
            </w:r>
          </w:p>
        </w:tc>
      </w:tr>
      <w:tr>
        <w:tc>
          <w:tcPr>
            <w:tcW w:type="dxa" w:w="32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Classical Optics</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Mature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10</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10</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10</w:t>
            </w:r>
          </w:p>
        </w:tc>
      </w:tr>
      <w:tr>
        <w:tc>
          <w:tcPr>
            <w:tcW w:type="dxa" w:w="32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Thermodynamics</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Mature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5</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4</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4</w:t>
            </w:r>
          </w:p>
        </w:tc>
      </w:tr>
      <w:tr>
        <w:tc>
          <w:tcPr>
            <w:tcW w:type="dxa" w:w="32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Condensed-Matter Analogues</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Developing</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1</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0</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0</w:t>
            </w:r>
          </w:p>
        </w:tc>
      </w:tr>
      <w:tr>
        <w:tc>
          <w:tcPr>
            <w:tcW w:type="dxa" w:w="32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Gravity (weak field)</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Mature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2</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2</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2</w:t>
            </w:r>
          </w:p>
        </w:tc>
      </w:tr>
      <w:tr>
        <w:tc>
          <w:tcPr>
            <w:tcW w:type="dxa" w:w="32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Solitons &amp; Knot Spectrum</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Mature (conditional)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2</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1</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2</w:t>
            </w:r>
          </w:p>
        </w:tc>
      </w:tr>
      <w:tr>
        <w:tc>
          <w:tcPr>
            <w:tcW w:type="dxa" w:w="32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Electroweak (Weinberg angle)</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Exploratory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1</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0</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0</w:t>
            </w:r>
          </w:p>
        </w:tc>
      </w:tr>
      <w:tr>
        <w:tc>
          <w:tcPr>
            <w:tcW w:type="dxa" w:w="32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Particle Masses</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Exploratory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2</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0</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0</w:t>
            </w:r>
          </w:p>
        </w:tc>
      </w:tr>
      <w:tr>
        <w:tc>
          <w:tcPr>
            <w:tcW w:type="dxa" w:w="32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Gauge Geometry (unification)</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Mature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5</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4</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3</w:t>
            </w:r>
          </w:p>
        </w:tc>
      </w:tr>
      <w:tr>
        <w:tc>
          <w:tcPr>
            <w:tcW w:type="dxa" w:w="32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Quantum Boundary (Bell)</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Mature (boundary)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5</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2</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both"/>
            </w:pPr>
            <w:r>
              <w:rPr>
                <w:rFonts w:ascii="Times New Roman" w:cs="Times New Roman" w:eastAsia="Times New Roman" w:hAnsi="Times New Roman"/>
                <w:b w:val="false"/>
                <w:bCs w:val="false"/>
                <w:sz w:val="19"/>
                <w:szCs w:val="19"/>
              </w:rPr>
              <w:t xml:space="preserve">3</w:t>
            </w:r>
          </w:p>
        </w:tc>
      </w:tr>
    </w:tbl>
    <w:p>
      <w:pPr>
        <w:spacing w:after="80"/>
      </w:pPr>
      <w:r>
        <w:rPr>
          <w:sz w:val="22"/>
          <w:szCs w:val="22"/>
        </w:rPr>
        <w:t xml:space="preserve"/>
      </w:r>
    </w:p>
    <w:p>
      <w:pPr>
        <w:pStyle w:val="Heading1"/>
        <w:spacing w:after="140" w:before="320"/>
      </w:pPr>
      <w:r>
        <w:rPr>
          <w:rFonts w:ascii="Times New Roman" w:cs="Times New Roman" w:eastAsia="Times New Roman" w:hAnsi="Times New Roman"/>
          <w:b/>
          <w:bCs/>
          <w:color w:val="1F3864"/>
          <w:sz w:val="28"/>
          <w:szCs w:val="28"/>
        </w:rPr>
        <w:t xml:space="preserve">Suggested reading order</w:t>
      </w:r>
    </w:p>
    <w:p>
      <w:pPr>
        <w:pStyle w:val="ListParagraph"/>
        <w:numPr>
          <w:ilvl w:val="0"/>
          <w:numId w:val="2"/>
        </w:numPr>
        <w:spacing w:after="70"/>
        <w:jc w:val="both"/>
      </w:pPr>
      <w:r>
        <w:rPr>
          <w:rFonts w:ascii="Times New Roman" w:cs="Times New Roman" w:eastAsia="Times New Roman" w:hAnsi="Times New Roman"/>
          <w:sz w:val="23"/>
          <w:szCs w:val="23"/>
        </w:rPr>
        <w:t xml:space="preserve">This overview — assumptions, scope, maturity, open problems.</w:t>
      </w:r>
    </w:p>
    <w:p>
      <w:pPr>
        <w:pStyle w:val="ListParagraph"/>
        <w:numPr>
          <w:ilvl w:val="0"/>
          <w:numId w:val="2"/>
        </w:numPr>
        <w:spacing w:after="70"/>
        <w:jc w:val="both"/>
      </w:pPr>
      <w:r>
        <w:rPr>
          <w:rFonts w:ascii="Times New Roman" w:cs="Times New Roman" w:eastAsia="Times New Roman" w:hAnsi="Times New Roman"/>
          <w:sz w:val="23"/>
          <w:szCs w:val="23"/>
        </w:rPr>
        <w:t xml:space="preserve">Topology and Gauge Geometry Underlying the Rope Programme — the mathematical backbone.</w:t>
      </w:r>
    </w:p>
    <w:p>
      <w:pPr>
        <w:pStyle w:val="ListParagraph"/>
        <w:numPr>
          <w:ilvl w:val="0"/>
          <w:numId w:val="2"/>
        </w:numPr>
        <w:spacing w:after="70"/>
        <w:jc w:val="both"/>
      </w:pPr>
      <w:r>
        <w:rPr>
          <w:rFonts w:ascii="Times New Roman" w:cs="Times New Roman" w:eastAsia="Times New Roman" w:hAnsi="Times New Roman"/>
          <w:sz w:val="23"/>
          <w:szCs w:val="23"/>
        </w:rPr>
        <w:t xml:space="preserve">Microscopic Mechanics — the endpoint mechanics the chain starts from.</w:t>
      </w:r>
    </w:p>
    <w:p>
      <w:pPr>
        <w:pStyle w:val="ListParagraph"/>
        <w:numPr>
          <w:ilvl w:val="0"/>
          <w:numId w:val="2"/>
        </w:numPr>
        <w:spacing w:after="70"/>
        <w:jc w:val="both"/>
      </w:pPr>
      <w:r>
        <w:rPr>
          <w:rFonts w:ascii="Times New Roman" w:cs="Times New Roman" w:eastAsia="Times New Roman" w:hAnsi="Times New Roman"/>
          <w:sz w:val="23"/>
          <w:szCs w:val="23"/>
        </w:rPr>
        <w:t xml:space="preserve">A Γ-Convergence Derivation for the Rope Medium — discrete model to continuum functional.</w:t>
      </w:r>
    </w:p>
    <w:p>
      <w:pPr>
        <w:pStyle w:val="ListParagraph"/>
        <w:numPr>
          <w:ilvl w:val="0"/>
          <w:numId w:val="2"/>
        </w:numPr>
        <w:spacing w:after="70"/>
        <w:jc w:val="both"/>
      </w:pPr>
      <w:r>
        <w:rPr>
          <w:rFonts w:ascii="Times New Roman" w:cs="Times New Roman" w:eastAsia="Times New Roman" w:hAnsi="Times New Roman"/>
          <w:sz w:val="23"/>
          <w:szCs w:val="23"/>
        </w:rPr>
        <w:t xml:space="preserve">Electromagnetism and Classical Optics — the strongest, most self-contained physical sectors.</w:t>
      </w:r>
    </w:p>
    <w:p>
      <w:pPr>
        <w:pStyle w:val="ListParagraph"/>
        <w:numPr>
          <w:ilvl w:val="0"/>
          <w:numId w:val="2"/>
        </w:numPr>
        <w:spacing w:after="70"/>
        <w:jc w:val="both"/>
      </w:pPr>
      <w:r>
        <w:rPr>
          <w:rFonts w:ascii="Times New Roman" w:cs="Times New Roman" w:eastAsia="Times New Roman" w:hAnsi="Times New Roman"/>
          <w:sz w:val="23"/>
          <w:szCs w:val="23"/>
        </w:rPr>
        <w:t xml:space="preserve">Scope and Limits — what the programme does not claim, especially the quantum boundary.</w:t>
      </w:r>
    </w:p>
    <w:p>
      <w:pPr>
        <w:spacing w:after="80"/>
      </w:pPr>
      <w:r>
        <w:rPr>
          <w:sz w:val="22"/>
          <w:szCs w:val="22"/>
        </w:rPr>
        <w:t xml:space="preserve"/>
      </w:r>
    </w:p>
    <w:p>
      <w:pPr>
        <w:pStyle w:val="Heading1"/>
        <w:spacing w:after="140" w:before="320"/>
      </w:pPr>
      <w:r>
        <w:rPr>
          <w:rFonts w:ascii="Times New Roman" w:cs="Times New Roman" w:eastAsia="Times New Roman" w:hAnsi="Times New Roman"/>
          <w:b/>
          <w:bCs/>
          <w:color w:val="1F3864"/>
          <w:sz w:val="28"/>
          <w:szCs w:val="28"/>
        </w:rPr>
        <w:t xml:space="preserve">Open problems and boundaries</w:t>
      </w:r>
    </w:p>
    <w:p>
      <w:pPr>
        <w:spacing w:after="160" w:before="0" w:line="276"/>
        <w:jc w:val="both"/>
      </w:pPr>
      <w:r>
        <w:rPr>
          <w:rFonts w:ascii="Times New Roman" w:cs="Times New Roman" w:eastAsia="Times New Roman" w:hAnsi="Times New Roman"/>
          <w:sz w:val="24"/>
          <w:szCs w:val="24"/>
        </w:rPr>
        <w:t xml:space="preserve">The programme marks where it does not yet claim to explain nature. These are surfaced directly from the claim registry, and are treated as first-class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057" w:sz="4"/>
              <w:left w:val="single" w:color="2E4057" w:sz="18"/>
              <w:bottom w:val="single" w:color="2E4057" w:sz="4"/>
              <w:right w:val="single" w:color="2E4057" w:sz="4"/>
            </w:tcBorders>
            <w:shd w:fill="F2F5F9" w:val="clear"/>
            <w:tcMar>
              <w:top w:type="dxa" w:w="110"/>
              <w:left w:type="dxa" w:w="200"/>
              <w:bottom w:type="dxa" w:w="110"/>
              <w:right w:type="dxa" w:w="160"/>
            </w:tcMar>
          </w:tcPr>
          <w:p>
            <w:pPr>
              <w:spacing w:after="60"/>
            </w:pPr>
            <w:r>
              <w:rPr>
                <w:rFonts w:ascii="Times New Roman" w:cs="Times New Roman" w:eastAsia="Times New Roman" w:hAnsi="Times New Roman"/>
                <w:b/>
                <w:bCs/>
                <w:color w:val="2E4057"/>
                <w:sz w:val="22"/>
                <w:szCs w:val="22"/>
              </w:rPr>
              <w:t xml:space="preserve">Genuinely open — the honest frontier</w:t>
            </w:r>
          </w:p>
          <w:p>
            <w:pPr>
              <w:spacing w:after="50"/>
              <w:jc w:val="both"/>
            </w:pPr>
            <w:r>
              <w:rPr>
                <w:rFonts w:ascii="Times New Roman" w:cs="Times New Roman" w:eastAsia="Times New Roman" w:hAnsi="Times New Roman"/>
                <w:sz w:val="21"/>
                <w:szCs w:val="21"/>
              </w:rPr>
              <w:t xml:space="preserve">EM flux tubes as defect lines versus smooth winding (FND-013): a stated open bridge, not claimed.</w:t>
            </w:r>
          </w:p>
          <w:p>
            <w:pPr>
              <w:spacing w:after="50"/>
              <w:jc w:val="both"/>
            </w:pPr>
            <w:r>
              <w:rPr>
                <w:rFonts w:ascii="Times New Roman" w:cs="Times New Roman" w:eastAsia="Times New Roman" w:hAnsi="Times New Roman"/>
                <w:sz w:val="21"/>
                <w:szCs w:val="21"/>
              </w:rPr>
              <w:t xml:space="preserve">Amplitude interference from rope dynamics (QB-005): the genuinely open quantum-boundary question.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2D26" w:sz="4"/>
              <w:left w:val="single" w:color="7B2D26" w:sz="18"/>
              <w:bottom w:val="single" w:color="7B2D26" w:sz="4"/>
              <w:right w:val="single" w:color="7B2D26" w:sz="4"/>
            </w:tcBorders>
            <w:shd w:fill="F2F5F9" w:val="clear"/>
            <w:tcMar>
              <w:top w:type="dxa" w:w="110"/>
              <w:left w:type="dxa" w:w="200"/>
              <w:bottom w:type="dxa" w:w="110"/>
              <w:right w:type="dxa" w:w="160"/>
            </w:tcMar>
          </w:tcPr>
          <w:p>
            <w:pPr>
              <w:spacing w:after="60"/>
            </w:pPr>
            <w:r>
              <w:rPr>
                <w:rFonts w:ascii="Times New Roman" w:cs="Times New Roman" w:eastAsia="Times New Roman" w:hAnsi="Times New Roman"/>
                <w:b/>
                <w:bCs/>
                <w:color w:val="7B2D26"/>
                <w:sz w:val="22"/>
                <w:szCs w:val="22"/>
              </w:rPr>
              <w:t xml:space="preserve">Documented negative results — kept as findings</w:t>
            </w:r>
          </w:p>
          <w:p>
            <w:pPr>
              <w:spacing w:after="50"/>
              <w:jc w:val="both"/>
            </w:pPr>
            <w:r>
              <w:rPr>
                <w:rFonts w:ascii="Times New Roman" w:cs="Times New Roman" w:eastAsia="Times New Roman" w:hAnsi="Times New Roman"/>
                <w:sz w:val="21"/>
                <w:szCs w:val="21"/>
              </w:rPr>
              <w:t xml:space="preserve">Config-counting does not reproduce quantum entanglement (QB-003): the documented quantum boundary.</w:t>
            </w:r>
          </w:p>
          <w:p>
            <w:pPr>
              <w:spacing w:after="50"/>
              <w:jc w:val="both"/>
            </w:pPr>
            <w:r>
              <w:rPr>
                <w:rFonts w:ascii="Times New Roman" w:cs="Times New Roman" w:eastAsia="Times New Roman" w:hAnsi="Times New Roman"/>
                <w:sz w:val="21"/>
                <w:szCs w:val="21"/>
              </w:rPr>
              <w:t xml:space="preserve">One-loop fluctuation mass mechanism falsified by ~80× (QB-004).</w:t>
            </w:r>
          </w:p>
          <w:p>
            <w:pPr>
              <w:spacing w:after="50"/>
              <w:jc w:val="both"/>
            </w:pPr>
            <w:r>
              <w:rPr>
                <w:rFonts w:ascii="Times New Roman" w:cs="Times New Roman" w:eastAsia="Times New Roman" w:hAnsi="Times New Roman"/>
                <w:sz w:val="21"/>
                <w:szCs w:val="21"/>
              </w:rPr>
              <w:t xml:space="preserve">Lepton ratios with the model’s own Weinberg angle fail (PM-002).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057" w:sz="4"/>
              <w:left w:val="single" w:color="2E4057" w:sz="18"/>
              <w:bottom w:val="single" w:color="2E4057" w:sz="4"/>
              <w:right w:val="single" w:color="2E4057" w:sz="4"/>
            </w:tcBorders>
            <w:shd w:fill="F2F5F9" w:val="clear"/>
            <w:tcMar>
              <w:top w:type="dxa" w:w="110"/>
              <w:left w:type="dxa" w:w="200"/>
              <w:bottom w:type="dxa" w:w="110"/>
              <w:right w:type="dxa" w:w="160"/>
            </w:tcMar>
          </w:tcPr>
          <w:p>
            <w:pPr>
              <w:spacing w:after="60"/>
            </w:pPr>
            <w:r>
              <w:rPr>
                <w:rFonts w:ascii="Times New Roman" w:cs="Times New Roman" w:eastAsia="Times New Roman" w:hAnsi="Times New Roman"/>
                <w:b/>
                <w:bCs/>
                <w:color w:val="2E4057"/>
                <w:sz w:val="22"/>
                <w:szCs w:val="22"/>
              </w:rPr>
              <w:t xml:space="preserve">Conjectural — suggestive or conditional, not established</w:t>
            </w:r>
          </w:p>
          <w:p>
            <w:pPr>
              <w:spacing w:after="50"/>
              <w:jc w:val="both"/>
            </w:pPr>
            <w:r>
              <w:rPr>
                <w:rFonts w:ascii="Times New Roman" w:cs="Times New Roman" w:eastAsia="Times New Roman" w:hAnsi="Times New Roman"/>
                <w:sz w:val="21"/>
                <w:szCs w:val="21"/>
              </w:rPr>
              <w:t xml:space="preserve">The ONTOLOGY itself: that ropes physically instantiate the geometry / F IS the EM field (GG-005) — necessary-but-not-sufficient; the hypothesis under test.</w:t>
            </w:r>
          </w:p>
          <w:p>
            <w:pPr>
              <w:spacing w:after="50"/>
              <w:jc w:val="both"/>
            </w:pPr>
            <w:r>
              <w:rPr>
                <w:rFonts w:ascii="Times New Roman" w:cs="Times New Roman" w:eastAsia="Times New Roman" w:hAnsi="Times New Roman"/>
                <w:sz w:val="21"/>
                <w:szCs w:val="21"/>
              </w:rPr>
              <w:t xml:space="preserve">Lepton mass ratios via a Koide phase, only with a measured input (PM-001).</w:t>
            </w:r>
          </w:p>
          <w:p>
            <w:pPr>
              <w:spacing w:after="50"/>
              <w:jc w:val="both"/>
            </w:pPr>
            <w:r>
              <w:rPr>
                <w:rFonts w:ascii="Times New Roman" w:cs="Times New Roman" w:eastAsia="Times New Roman" w:hAnsi="Times New Roman"/>
                <w:sz w:val="21"/>
                <w:szCs w:val="21"/>
              </w:rPr>
              <w:t xml:space="preserve">Weinberg angle sin²θ_W = 1/(3√2), ~1.94% from measured (EW-001).</w:t>
            </w:r>
          </w:p>
        </w:tc>
      </w:tr>
    </w:tbl>
    <w:p>
      <w:pPr>
        <w:spacing w:after="80"/>
      </w:pPr>
      <w:r>
        <w:rPr>
          <w:sz w:val="22"/>
          <w:szCs w:val="22"/>
        </w:rPr>
        <w:t xml:space="preserve"/>
      </w:r>
    </w:p>
    <w:p>
      <w:pPr>
        <w:pStyle w:val="Heading1"/>
        <w:spacing w:after="140" w:before="320"/>
      </w:pPr>
      <w:r>
        <w:rPr>
          <w:rFonts w:ascii="Times New Roman" w:cs="Times New Roman" w:eastAsia="Times New Roman" w:hAnsi="Times New Roman"/>
          <w:b/>
          <w:bCs/>
          <w:color w:val="1F3864"/>
          <w:sz w:val="28"/>
          <w:szCs w:val="28"/>
        </w:rPr>
        <w:t xml:space="preserve">How to evaluate this corpus</w:t>
      </w:r>
    </w:p>
    <w:p>
      <w:pPr>
        <w:pStyle w:val="ListParagraph"/>
        <w:numPr>
          <w:ilvl w:val="0"/>
          <w:numId w:val="3"/>
        </w:numPr>
        <w:spacing w:after="70"/>
        <w:jc w:val="both"/>
      </w:pPr>
      <w:r>
        <w:rPr>
          <w:rFonts w:ascii="Times New Roman" w:cs="Times New Roman" w:eastAsia="Times New Roman" w:hAnsi="Times New Roman"/>
          <w:sz w:val="23"/>
          <w:szCs w:val="23"/>
        </w:rPr>
        <w:t xml:space="preserve">Dependency graph — docs/dependency_graph.txt: what rests on what.</w:t>
      </w:r>
    </w:p>
    <w:p>
      <w:pPr>
        <w:pStyle w:val="ListParagraph"/>
        <w:numPr>
          <w:ilvl w:val="0"/>
          <w:numId w:val="3"/>
        </w:numPr>
        <w:spacing w:after="70"/>
        <w:jc w:val="both"/>
      </w:pPr>
      <w:r>
        <w:rPr>
          <w:rFonts w:ascii="Times New Roman" w:cs="Times New Roman" w:eastAsia="Times New Roman" w:hAnsi="Times New Roman"/>
          <w:sz w:val="23"/>
          <w:szCs w:val="23"/>
        </w:rPr>
        <w:t xml:space="preserve">Claim registry — claims.yaml: every claim’s status, paper, and benchmark.</w:t>
      </w:r>
    </w:p>
    <w:p>
      <w:pPr>
        <w:pStyle w:val="ListParagraph"/>
        <w:numPr>
          <w:ilvl w:val="0"/>
          <w:numId w:val="3"/>
        </w:numPr>
        <w:spacing w:after="70"/>
        <w:jc w:val="both"/>
      </w:pPr>
      <w:r>
        <w:rPr>
          <w:rFonts w:ascii="Times New Roman" w:cs="Times New Roman" w:eastAsia="Times New Roman" w:hAnsi="Times New Roman"/>
          <w:sz w:val="23"/>
          <w:szCs w:val="23"/>
        </w:rPr>
        <w:t xml:space="preserve">Computed roadmap — docs/roadmap.md: sector maturity, auto-flagged if readiness outruns evidence.</w:t>
      </w:r>
    </w:p>
    <w:p>
      <w:pPr>
        <w:pStyle w:val="ListParagraph"/>
        <w:numPr>
          <w:ilvl w:val="0"/>
          <w:numId w:val="3"/>
        </w:numPr>
        <w:spacing w:after="70"/>
        <w:jc w:val="both"/>
      </w:pPr>
      <w:r>
        <w:rPr>
          <w:rFonts w:ascii="Times New Roman" w:cs="Times New Roman" w:eastAsia="Times New Roman" w:hAnsi="Times New Roman"/>
          <w:sz w:val="23"/>
          <w:szCs w:val="23"/>
        </w:rPr>
        <w:t xml:space="preserve">One-command verification — make verify: runs every code-backed claim’s benchmark.</w:t>
      </w:r>
    </w:p>
    <w:p>
      <w:pPr>
        <w:pStyle w:val="ListParagraph"/>
        <w:numPr>
          <w:ilvl w:val="0"/>
          <w:numId w:val="3"/>
        </w:numPr>
        <w:spacing w:after="70"/>
        <w:jc w:val="both"/>
      </w:pPr>
      <w:r>
        <w:rPr>
          <w:rFonts w:ascii="Times New Roman" w:cs="Times New Roman" w:eastAsia="Times New Roman" w:hAnsi="Times New Roman"/>
          <w:sz w:val="23"/>
          <w:szCs w:val="23"/>
        </w:rPr>
        <w:t xml:space="preserve">Heartbeat — make heartbeat: the core validation runs (75/75 + 10/10 + 6/6).</w:t>
      </w:r>
    </w:p>
    <w:p>
      <w:pPr>
        <w:spacing w:after="80"/>
      </w:pPr>
      <w:r>
        <w:rPr>
          <w:sz w:val="22"/>
          <w:szCs w:val="22"/>
        </w:rPr>
        <w:t xml:space="preserve"/>
      </w:r>
    </w:p>
    <w:p>
      <w:pPr>
        <w:spacing w:after="160" w:before="0" w:line="276"/>
        <w:jc w:val="both"/>
      </w:pPr>
      <w:r>
        <w:rPr>
          <w:rFonts w:ascii="Times New Roman" w:cs="Times New Roman" w:eastAsia="Times New Roman" w:hAnsi="Times New Roman"/>
          <w:i/>
          <w:iCs/>
          <w:color w:val="666666"/>
          <w:sz w:val="22"/>
          <w:szCs w:val="22"/>
        </w:rPr>
        <w:t xml:space="preserve">This overview is regenerated by tools/build_overview.py (make overview) from the same registry that drives verification, the dependency graph, and the roadmap — so the front door stays in sync with the corpus behind it.</w:t>
      </w:r>
    </w:p>
    <w:p>
      <w:pPr>
        <w:spacing w:after="80"/>
      </w:pPr>
      <w:r>
        <w:rPr>
          <w:sz w:val="22"/>
          <w:szCs w:val="22"/>
        </w:rPr>
        <w:t xml:space="preserve"/>
      </w:r>
    </w:p>
    <w:p>
      <w:pPr>
        <w:spacing w:after="160" w:before="0" w:line="276"/>
        <w:jc w:val="both"/>
      </w:pPr>
      <w:r>
        <w:rPr>
          <w:rFonts w:ascii="Times New Roman" w:cs="Times New Roman" w:eastAsia="Times New Roman" w:hAnsi="Times New Roman"/>
          <w:i/>
          <w:iCs/>
          <w:color w:val="666666"/>
          <w:sz w:val="20"/>
          <w:szCs w:val="20"/>
        </w:rPr>
        <w:t xml:space="preserve">Programme credit: the core Rope Hypothesis is due to Bill Gaede. Computational collaboration and drafting by Claude (Anthropic).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Times New Roman" w:cs="Times New Roman" w:eastAsia="Times New Roman" w:hAnsi="Times New Roman"/>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2026-07-07T12:03:41.802Z</dcterms:created>
  <dcterms:modified xsi:type="dcterms:W3CDTF">2026-07-07T12:03:41.819Z</dcterms:modified>
</cp:coreProperties>
</file>

<file path=docProps/custom.xml><?xml version="1.0" encoding="utf-8"?>
<Properties xmlns="http://schemas.openxmlformats.org/officeDocument/2006/custom-properties" xmlns:vt="http://schemas.openxmlformats.org/officeDocument/2006/docPropsVTypes"/>
</file>