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line="276"/>
        <w:jc w:val="center"/>
      </w:pPr>
      <w:r>
        <w:rPr>
          <w:rFonts w:ascii="Times New Roman" w:cs="Times New Roman" w:eastAsia="Times New Roman" w:hAnsi="Times New Roman"/>
          <w:b/>
          <w:bCs/>
          <w:sz w:val="34"/>
          <w:szCs w:val="34"/>
        </w:rPr>
        <w:t xml:space="preserve">The Rope Programme — Master Claim-Status Registry</w:t>
      </w:r>
    </w:p>
    <w:p>
      <w:pPr>
        <w:spacing w:after="100" w:before="0" w:line="276"/>
        <w:jc w:val="center"/>
      </w:pPr>
      <w:r>
        <w:rPr>
          <w:rFonts w:ascii="Times New Roman" w:cs="Times New Roman" w:eastAsia="Times New Roman" w:hAnsi="Times New Roman"/>
          <w:i/>
          <w:iCs/>
          <w:color w:val="666666"/>
          <w:sz w:val="22"/>
          <w:szCs w:val="22"/>
        </w:rPr>
        <w:t xml:space="preserve">One canonical source for the status of every principal claim in the external review set</w:t>
      </w:r>
    </w:p>
    <w:p>
      <w:pPr>
        <w:spacing w:after="100" w:before="0" w:line="276"/>
        <w:jc w:val="center"/>
      </w:pPr>
      <w:r>
        <w:rPr>
          <w:rFonts w:ascii="Times New Roman" w:cs="Times New Roman" w:eastAsia="Times New Roman" w:hAnsi="Times New Roman"/>
          <w:color w:val="666666"/>
          <w:sz w:val="20"/>
          <w:szCs w:val="20"/>
        </w:rPr>
        <w:t xml:space="preserve">Mark Palmer  ·  with computational collaboration by Claude (Anthropic)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spacing w:after="60" w:before="0" w:line="276"/>
        <w:jc w:val="both"/>
      </w:pPr>
      <w:r>
        <w:rPr>
          <w:rFonts w:ascii="Times New Roman" w:cs="Times New Roman" w:eastAsia="Times New Roman" w:hAnsi="Times New Roman"/>
          <w:sz w:val="24"/>
          <w:szCs w:val="24"/>
        </w:rPr>
        <w:t xml:space="preserve">This registry exists so the corpus can be evaluated without reading all of it at once. Every principal claim in the eleven-paper external set is listed once, with its status, the paper that carries it, what it depends on, whether it has needed correction, and whether an external test exists. Status labels follow the programme’s convention: </w:t>
      </w:r>
    </w:p>
    <w:p>
      <w:pPr>
        <w:spacing w:after="120" w:before="0" w:line="276"/>
        <w:jc w:val="both"/>
      </w:pPr>
      <w:r>
        <w:rPr>
          <w:rFonts w:ascii="Times New Roman" w:cs="Times New Roman" w:eastAsia="Times New Roman" w:hAnsi="Times New Roman"/>
          <w:i/>
          <w:iCs/>
          <w:sz w:val="22"/>
          <w:szCs w:val="22"/>
        </w:rPr>
        <w:t xml:space="preserve">Derived — follows by calculation from stated premises.   EFT-constrained — fixed by effective-field-theory / symmetry reasoning, not first principles.   Modeled — reproduced by an explicit construction consistent with data.   Failed — shown not to hold as formulated (kept as a finding).   Open — not yet established either way.</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Tier 1 — In-Domain (Classical)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1500"/>
        <w:gridCol w:w="1350"/>
        <w:gridCol w:w="1350"/>
        <w:gridCol w:w="1240"/>
        <w:gridCol w:w="1240"/>
      </w:tblGrid>
      <w:tr>
        <w:tc>
          <w:tcPr>
            <w:tcW w:type="dxa" w:w="268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Claim</w:t>
            </w:r>
          </w:p>
        </w:tc>
        <w:tc>
          <w:tcPr>
            <w:tcW w:type="dxa" w:w="150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Status</w:t>
            </w:r>
          </w:p>
        </w:tc>
        <w:tc>
          <w:tcPr>
            <w:tcW w:type="dxa" w:w="135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Paper</w:t>
            </w:r>
          </w:p>
        </w:tc>
        <w:tc>
          <w:tcPr>
            <w:tcW w:type="dxa" w:w="135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Dependency</w:t>
            </w:r>
          </w:p>
        </w:tc>
        <w:tc>
          <w:tcPr>
            <w:tcW w:type="dxa" w:w="124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Corrected?</w:t>
            </w:r>
          </w:p>
        </w:tc>
        <w:tc>
          <w:tcPr>
            <w:tcW w:type="dxa" w:w="124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Ext. test?</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Rope effective metric = isotropic Schwarzschild (weak field)</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1F3864"/>
                <w:sz w:val="18"/>
                <w:szCs w:val="18"/>
              </w:rPr>
              <w:t xml:space="preserve">Modeled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Gravity</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Rope static config</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GR-equiv</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PPN γ = β = 1</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2E6E4F"/>
                <w:sz w:val="18"/>
                <w:szCs w:val="18"/>
              </w:rPr>
              <w:t xml:space="preserve">Derived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Gravity</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Effective metric</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Cassini</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Light deflection 1.751″; Mercury 43.0″/cy</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2E6E4F"/>
                <w:sz w:val="18"/>
                <w:szCs w:val="18"/>
              </w:rPr>
              <w:t xml:space="preserve">Derived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Gravity</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γ, β</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VLBI, obs</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Shapiro γ = 1; Nordtvedt η = 0</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2E6E4F"/>
                <w:sz w:val="18"/>
                <w:szCs w:val="18"/>
              </w:rPr>
              <w:t xml:space="preserve">Derived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Gravity</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Effective metric</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Cassini, LLR</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Two-slit intensity law I ∝ 1+cos(2πΔ/λ)</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1F3864"/>
                <w:sz w:val="18"/>
                <w:szCs w:val="18"/>
              </w:rPr>
              <w:t xml:space="preserve">Modeled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Optics</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Light = rope wave</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Classic optics</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Classical diffraction (obstacle / needle)</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1F3864"/>
                <w:sz w:val="18"/>
                <w:szCs w:val="18"/>
              </w:rPr>
              <w:t xml:space="preserve">Modeled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Optics</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Wave superposition</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Classic optics</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Maxwell structure from rope tension/twist</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1F3864"/>
                <w:sz w:val="18"/>
                <w:szCs w:val="18"/>
              </w:rPr>
              <w:t xml:space="preserve">Modeled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Electromagnetism</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Rope kinematics</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EM equiv</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Magnetism: field near/far from one rope set</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1F3864"/>
                <w:sz w:val="18"/>
                <w:szCs w:val="18"/>
              </w:rPr>
              <w:t xml:space="preserve">Modeled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Magnetism</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Rope geometry</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Oersted-type</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Stiffness K = T²/(κ a) scalar; 2T²/(κ a) director</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2E6E4F"/>
                <w:sz w:val="18"/>
                <w:szCs w:val="18"/>
              </w:rPr>
              <w:t xml:space="preserve">Derived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Microscopic Mechanics</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Coarse-graining</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YES (was 3T²)</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Coarse-grained action S = (K/2)∫(∇θ)² justified at leading order</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2E4057"/>
                <w:sz w:val="18"/>
                <w:szCs w:val="18"/>
              </w:rPr>
              <w:t xml:space="preserve">EFT-constrained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Renormalization/EFT</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Power-counting</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Thermodynamic coarse-graining &amp; coefficients</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1F3864"/>
                <w:sz w:val="18"/>
                <w:szCs w:val="18"/>
              </w:rPr>
              <w:t xml:space="preserve">Modeled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Thermodynamics</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Rope statistics</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Condensed-matter analogues (vortex/phase)</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1F3864"/>
                <w:sz w:val="18"/>
                <w:szCs w:val="18"/>
              </w:rPr>
              <w:t xml:space="preserve">Modeled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Condensed Matter</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Rope order params</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Lab analogue</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Tier 2 — The Quantum Boundary (Findings &amp;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1500"/>
        <w:gridCol w:w="1350"/>
        <w:gridCol w:w="1350"/>
        <w:gridCol w:w="1240"/>
        <w:gridCol w:w="1240"/>
      </w:tblGrid>
      <w:tr>
        <w:tc>
          <w:tcPr>
            <w:tcW w:type="dxa" w:w="268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Claim</w:t>
            </w:r>
          </w:p>
        </w:tc>
        <w:tc>
          <w:tcPr>
            <w:tcW w:type="dxa" w:w="150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Status</w:t>
            </w:r>
          </w:p>
        </w:tc>
        <w:tc>
          <w:tcPr>
            <w:tcW w:type="dxa" w:w="135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Paper</w:t>
            </w:r>
          </w:p>
        </w:tc>
        <w:tc>
          <w:tcPr>
            <w:tcW w:type="dxa" w:w="135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Dependency</w:t>
            </w:r>
          </w:p>
        </w:tc>
        <w:tc>
          <w:tcPr>
            <w:tcW w:type="dxa" w:w="124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Corrected?</w:t>
            </w:r>
          </w:p>
        </w:tc>
        <w:tc>
          <w:tcPr>
            <w:tcW w:type="dxa" w:w="124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Ext. test?</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Local rope model gives triangle wave, CHSH ≤ 2</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2E6E4F"/>
                <w:sz w:val="18"/>
                <w:szCs w:val="18"/>
              </w:rPr>
              <w:t xml:space="preserve">Derived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Non-Local Dynamics</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Counting rule</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Bell tests</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Non-local update reaches cosine + Tsirelson (conditional IMPOSED)</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1F3864"/>
                <w:sz w:val="18"/>
                <w:szCs w:val="18"/>
              </w:rPr>
              <w:t xml:space="preserve">Modeled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Non-Local Dynamics</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Imposed cond.</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Bell tests</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No-signalling holds for the update rule</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2E6E4F"/>
                <w:sz w:val="18"/>
                <w:szCs w:val="18"/>
              </w:rPr>
              <w:t xml:space="preserve">Derived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Non-Local Dynamics</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Update structure</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Config-counting gives (π−θ)/π, NOT Born cos²(θ/2)</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2E6E4F"/>
                <w:sz w:val="18"/>
                <w:szCs w:val="18"/>
              </w:rPr>
              <w:t xml:space="preserve">Derived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Measurement/Born</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Counting rule</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Present counting form reproduces quantum entanglement</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7B2D26"/>
                <w:sz w:val="18"/>
                <w:szCs w:val="18"/>
              </w:rPr>
              <w:t xml:space="preserve">Failed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Measurement/Born; Scope</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Counting ≠ interference</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Bell, g²</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Single-photon self-interference reproduced</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7B2D26"/>
                <w:sz w:val="18"/>
                <w:szCs w:val="18"/>
              </w:rPr>
              <w:t xml:space="preserve">Failed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Optics; Scope</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Amplitude interference</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g², single-photon</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Detector couples to Bloch angle (γ = 1)</w:t>
            </w:r>
          </w:p>
        </w:tc>
        <w:tc>
          <w:tcPr>
            <w:tcW w:type="dxa" w:w="1500"/>
            <w:tcBorders>
              <w:top w:val="single" w:color="BBBBBB" w:sz="1"/>
              <w:left w:val="single" w:color="BBBBBB" w:sz="1"/>
              <w:bottom w:val="single" w:color="BBBBBB" w:sz="1"/>
              <w:right w:val="single" w:color="BBBBBB" w:sz="1"/>
            </w:tcBorders>
            <w:shd w:fill="EDEDED" w:val="clear"/>
            <w:tcMar>
              <w:top w:type="dxa" w:w="70"/>
              <w:left w:type="dxa" w:w="90"/>
              <w:bottom w:type="dxa" w:w="70"/>
              <w:right w:type="dxa" w:w="90"/>
            </w:tcMar>
          </w:tcPr>
          <w:p>
            <w:pPr>
              <w:jc w:val="left"/>
            </w:pPr>
            <w:r>
              <w:rPr>
                <w:rFonts w:ascii="Times New Roman" w:cs="Times New Roman" w:eastAsia="Times New Roman" w:hAnsi="Times New Roman"/>
                <w:b/>
                <w:bCs/>
                <w:color w:val="666666"/>
                <w:sz w:val="18"/>
                <w:szCs w:val="18"/>
              </w:rPr>
              <w:t xml:space="preserve">Open</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Non-Local Dynamics</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Measurement dynamics</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Amplitude interference from rope dynamics</w:t>
            </w:r>
          </w:p>
        </w:tc>
        <w:tc>
          <w:tcPr>
            <w:tcW w:type="dxa" w:w="1500"/>
            <w:tcBorders>
              <w:top w:val="single" w:color="BBBBBB" w:sz="1"/>
              <w:left w:val="single" w:color="BBBBBB" w:sz="1"/>
              <w:bottom w:val="single" w:color="BBBBBB" w:sz="1"/>
              <w:right w:val="single" w:color="BBBBBB" w:sz="1"/>
            </w:tcBorders>
            <w:shd w:fill="EDEDED" w:val="clear"/>
            <w:tcMar>
              <w:top w:type="dxa" w:w="70"/>
              <w:left w:type="dxa" w:w="90"/>
              <w:bottom w:type="dxa" w:w="70"/>
              <w:right w:type="dxa" w:w="90"/>
            </w:tcMar>
          </w:tcPr>
          <w:p>
            <w:pPr>
              <w:jc w:val="left"/>
            </w:pPr>
            <w:r>
              <w:rPr>
                <w:rFonts w:ascii="Times New Roman" w:cs="Times New Roman" w:eastAsia="Times New Roman" w:hAnsi="Times New Roman"/>
                <w:b/>
                <w:bCs/>
                <w:color w:val="666666"/>
                <w:sz w:val="18"/>
                <w:szCs w:val="18"/>
              </w:rPr>
              <w:t xml:space="preserve">Open</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Measurement/Born; Scope</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New structure needed</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Non-classical rope substrate (future)</w:t>
            </w:r>
          </w:p>
        </w:tc>
        <w:tc>
          <w:tcPr>
            <w:tcW w:type="dxa" w:w="1500"/>
            <w:tcBorders>
              <w:top w:val="single" w:color="BBBBBB" w:sz="1"/>
              <w:left w:val="single" w:color="BBBBBB" w:sz="1"/>
              <w:bottom w:val="single" w:color="BBBBBB" w:sz="1"/>
              <w:right w:val="single" w:color="BBBBBB" w:sz="1"/>
            </w:tcBorders>
            <w:shd w:fill="EDEDED" w:val="clear"/>
            <w:tcMar>
              <w:top w:type="dxa" w:w="70"/>
              <w:left w:type="dxa" w:w="90"/>
              <w:bottom w:type="dxa" w:w="70"/>
              <w:right w:type="dxa" w:w="90"/>
            </w:tcMar>
          </w:tcPr>
          <w:p>
            <w:pPr>
              <w:jc w:val="left"/>
            </w:pPr>
            <w:r>
              <w:rPr>
                <w:rFonts w:ascii="Times New Roman" w:cs="Times New Roman" w:eastAsia="Times New Roman" w:hAnsi="Times New Roman"/>
                <w:b/>
                <w:bCs/>
                <w:color w:val="666666"/>
                <w:sz w:val="18"/>
                <w:szCs w:val="18"/>
              </w:rPr>
              <w:t xml:space="preserve">Open</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Scope and Limits</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Tier 0 — Ontology &amp;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1500"/>
        <w:gridCol w:w="1350"/>
        <w:gridCol w:w="1350"/>
        <w:gridCol w:w="1240"/>
        <w:gridCol w:w="1240"/>
      </w:tblGrid>
      <w:tr>
        <w:tc>
          <w:tcPr>
            <w:tcW w:type="dxa" w:w="268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Claim</w:t>
            </w:r>
          </w:p>
        </w:tc>
        <w:tc>
          <w:tcPr>
            <w:tcW w:type="dxa" w:w="150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Status</w:t>
            </w:r>
          </w:p>
        </w:tc>
        <w:tc>
          <w:tcPr>
            <w:tcW w:type="dxa" w:w="135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Paper</w:t>
            </w:r>
          </w:p>
        </w:tc>
        <w:tc>
          <w:tcPr>
            <w:tcW w:type="dxa" w:w="135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Dependency</w:t>
            </w:r>
          </w:p>
        </w:tc>
        <w:tc>
          <w:tcPr>
            <w:tcW w:type="dxa" w:w="124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Corrected?</w:t>
            </w:r>
          </w:p>
        </w:tc>
        <w:tc>
          <w:tcPr>
            <w:tcW w:type="dxa" w:w="1240"/>
            <w:tcBorders>
              <w:top w:val="single" w:color="BBBBBB" w:sz="1"/>
              <w:left w:val="single" w:color="BBBBBB" w:sz="1"/>
              <w:bottom w:val="single" w:color="BBBBBB" w:sz="1"/>
              <w:right w:val="single" w:color="BBBBBB" w:sz="1"/>
            </w:tcBorders>
            <w:shd w:fill="1F3864" w:val="clear"/>
            <w:tcMar>
              <w:top w:type="dxa" w:w="70"/>
              <w:left w:type="dxa" w:w="90"/>
              <w:bottom w:type="dxa" w:w="70"/>
              <w:right w:type="dxa" w:w="90"/>
            </w:tcMar>
          </w:tcPr>
          <w:p>
            <w:pPr>
              <w:jc w:val="left"/>
            </w:pPr>
            <w:r>
              <w:rPr>
                <w:rFonts w:ascii="Times New Roman" w:cs="Times New Roman" w:eastAsia="Times New Roman" w:hAnsi="Times New Roman"/>
                <w:b/>
                <w:bCs/>
                <w:color w:val="FFFFFF"/>
                <w:sz w:val="19"/>
                <w:szCs w:val="19"/>
              </w:rPr>
              <w:t xml:space="preserve">Ext. test?</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Interactions mediated by physical two-strand ropes</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1F3864"/>
                <w:sz w:val="18"/>
                <w:szCs w:val="18"/>
              </w:rPr>
              <w:t xml:space="preserve">Modeled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Ontology/Foundations</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Core premise</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Programme is a classical model w/ documented quantum boundary</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2E6E4F"/>
                <w:sz w:val="18"/>
                <w:szCs w:val="18"/>
              </w:rPr>
              <w:t xml:space="preserve">Derived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Scope and Limits</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Whole corpus</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w:t>
            </w:r>
          </w:p>
        </w:tc>
      </w:tr>
      <w:tr>
        <w:tc>
          <w:tcPr>
            <w:tcW w:type="dxa" w:w="268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Boundary generalises to any counting ontology</w:t>
            </w:r>
          </w:p>
        </w:tc>
        <w:tc>
          <w:tcPr>
            <w:tcW w:type="dxa" w:w="1500"/>
            <w:tcBorders>
              <w:top w:val="single" w:color="BBBBBB" w:sz="1"/>
              <w:left w:val="single" w:color="BBBBBB" w:sz="1"/>
              <w:bottom w:val="single" w:color="BBBBBB" w:sz="1"/>
              <w:right w:val="single" w:color="BBBBBB" w:sz="1"/>
            </w:tcBorders>
            <w:shd w:val="clear"/>
            <w:tcMar>
              <w:top w:type="dxa" w:w="70"/>
              <w:left w:type="dxa" w:w="90"/>
              <w:bottom w:type="dxa" w:w="70"/>
              <w:right w:type="dxa" w:w="90"/>
            </w:tcMar>
          </w:tcPr>
          <w:p>
            <w:pPr>
              <w:jc w:val="left"/>
            </w:pPr>
            <w:r>
              <w:rPr>
                <w:rFonts w:ascii="Times New Roman" w:cs="Times New Roman" w:eastAsia="Times New Roman" w:hAnsi="Times New Roman"/>
                <w:b/>
                <w:bCs/>
                <w:color w:val="2E4057"/>
                <w:sz w:val="18"/>
                <w:szCs w:val="18"/>
              </w:rPr>
              <w:t xml:space="preserve">EFT-constrained</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Scope and Limits</w:t>
            </w:r>
          </w:p>
        </w:tc>
        <w:tc>
          <w:tcPr>
            <w:tcW w:type="dxa" w:w="135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Consistent w/ Bell</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No</w:t>
            </w:r>
          </w:p>
        </w:tc>
        <w:tc>
          <w:tcPr>
            <w:tcW w:type="dxa" w:w="1240"/>
            <w:tcBorders>
              <w:top w:val="single" w:color="BBBBBB" w:sz="1"/>
              <w:left w:val="single" w:color="BBBBBB" w:sz="1"/>
              <w:bottom w:val="single" w:color="BBBBBB" w:sz="1"/>
              <w:right w:val="single" w:color="BBBBBB" w:sz="1"/>
            </w:tcBorders>
            <w:tcMar>
              <w:top w:type="dxa" w:w="70"/>
              <w:left w:type="dxa" w:w="90"/>
              <w:bottom w:type="dxa" w:w="70"/>
              <w:right w:type="dxa" w:w="90"/>
            </w:tcMar>
          </w:tcPr>
          <w:p>
            <w:pPr>
              <w:jc w:val="left"/>
            </w:pPr>
            <w:r>
              <w:rPr>
                <w:rFonts w:ascii="Times New Roman" w:cs="Times New Roman" w:eastAsia="Times New Roman" w:hAnsi="Times New Roman"/>
                <w:b w:val="false"/>
                <w:bCs w:val="false"/>
                <w:sz w:val="18"/>
                <w:szCs w:val="18"/>
              </w:rPr>
              <w:t xml:space="preserve">Bell</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spacing w:after="160" w:before="0" w:line="276"/>
        <w:jc w:val="both"/>
      </w:pPr>
      <w:r>
        <w:rPr>
          <w:rFonts w:ascii="Times New Roman" w:cs="Times New Roman" w:eastAsia="Times New Roman" w:hAnsi="Times New Roman"/>
          <w:b/>
          <w:bCs/>
          <w:sz w:val="24"/>
          <w:szCs w:val="24"/>
        </w:rPr>
        <w:t xml:space="preserve">Reading the registry. </w:t>
      </w:r>
    </w:p>
    <w:p>
      <w:pPr>
        <w:spacing w:after="120" w:before="0" w:line="276"/>
        <w:jc w:val="both"/>
      </w:pPr>
      <w:r>
        <w:rPr>
          <w:rFonts w:ascii="Times New Roman" w:cs="Times New Roman" w:eastAsia="Times New Roman" w:hAnsi="Times New Roman"/>
          <w:sz w:val="24"/>
          <w:szCs w:val="24"/>
        </w:rPr>
        <w:t xml:space="preserve">The single most important pattern: every Tier-1 classical claim is Derived or Modeled and needs no correction (the one historical correction, the stiffness factor of three, is marked and resolved). Every Failed entry is a quantum-boundary claim, kept deliberately as a finding rather than removed. Every Open entry is a quantum-sector question the programme does not claim to have settled. The corpus’s honesty is legible directly from the status column: classical domain solid, quantum boundary documented, nothing overclaimed.</w:t>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sectPr>
      <w:pgSz w:w="12240" w:h="15840" w:orient="portrait"/>
      <w:pgMar w:top="1200" w:right="1080" w:bottom="12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2026-07-06T13:49:00.358Z</dcterms:created>
  <dcterms:modified xsi:type="dcterms:W3CDTF">2026-07-06T13:49:00.358Z</dcterms:modified>
</cp:coreProperties>
</file>

<file path=docProps/custom.xml><?xml version="1.0" encoding="utf-8"?>
<Properties xmlns="http://schemas.openxmlformats.org/officeDocument/2006/custom-properties" xmlns:vt="http://schemas.openxmlformats.org/officeDocument/2006/docPropsVTypes"/>
</file>