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Electricity in the Rope Framework</w:t>
      </w:r>
    </w:p>
    <w:p>
      <w:pPr>
        <w:pStyle w:val="Heading2"/>
        <w:spacing w:after="110" w:before="240"/>
      </w:pPr>
      <w:r>
        <w:rPr>
          <w:rFonts w:ascii="Times New Roman" w:cs="Times New Roman" w:eastAsia="Times New Roman" w:hAnsi="Times New Roman"/>
          <w:b/>
          <w:bCs/>
          <w:i/>
          <w:iCs/>
          <w:color w:val="2E4057"/>
          <w:sz w:val="24"/>
          <w:szCs w:val="24"/>
        </w:rPr>
        <w:t xml:space="preserve">Two levels: Gaede's strand geometry and its topological description</w:t>
      </w:r>
    </w:p>
    <w:p>
      <w:pPr>
        <w:spacing w:after="140" w:line="276"/>
        <w:jc w:val="both"/>
      </w:pPr>
      <w:r>
        <w:rPr>
          <w:rFonts w:ascii="Times New Roman" w:cs="Times New Roman" w:eastAsia="Times New Roman" w:hAnsi="Times New Roman"/>
          <w:sz w:val="24"/>
          <w:szCs w:val="24"/>
        </w:rPr>
        <w:t xml:space="preserve">The identification of charge with the linking number invites a question about what charge IS versus how it is described. It is worth separating the two, because they operate at different levels and are easily conflated. In Gaede's original ontology, charge is not a substance, a number tied to the rope, or an abstract topological object; it is a GEOMETRIC handedness of the two strands — the orientation with which they are configured, with the electron and positron as mirror-image arrangements (the glove analogy: identical material, opposite handedness, no separate charge-fluid). Attraction and repulsion are then whether opposite- or like-handed strand-ends can geometrically mesh, and conservation is the impossibility of creating a lone unmatched handedness — charges appear in electron–positron pairs.</w:t>
      </w:r>
    </w:p>
    <w:p>
      <w:pPr>
        <w:spacing w:after="140" w:line="276"/>
        <w:jc w:val="both"/>
      </w:pPr>
      <w:r>
        <w:rPr>
          <w:rFonts w:ascii="Times New Roman" w:cs="Times New Roman" w:eastAsia="Times New Roman" w:hAnsi="Times New Roman"/>
          <w:sz w:val="24"/>
          <w:szCs w:val="24"/>
        </w:rPr>
        <w:t xml:space="preserve">The linking number used throughout this paper is the CONTINUUM DESCRIPTION of exactly that conserved strand geometry. This is not a competing claim: a handedness computed directly from two strand curves is integer-valued (matching the winding), exactly antisymmetric under mirror reflection (electron↔positron), and invariant under smooth deformation — precisely the properties attributed here to the linking number, and indeed the same integer (verified in benchmarks/em/strand_handedness.py, claim GG-006). Topology is thus the mathematical LANGUAGE into which the conserved strand geometry naturally coarse-grains, not a rival account of what charge fundamentally is. Which level is ontologically primary — whether the ropes LITERALLY instantiate the topological structure or merely realise a geometry that topology describes — is left open (it is the conjecture GG-005); the derivations in this paper depend only on the conserved integer, which both levels supply.</w:t>
      </w:r>
    </w:p>
    <w:p>
      <w:pPr>
        <w:spacing w:after="120" w:before="0" w:line="276"/>
        <w:jc w:val="center"/>
      </w:pPr>
      <w:r>
        <w:rPr>
          <w:rFonts w:ascii="Times New Roman" w:cs="Times New Roman" w:eastAsia="Times New Roman" w:hAnsi="Times New Roman"/>
          <w:b/>
          <w:bCs/>
          <w:sz w:val="22"/>
          <w:szCs w:val="22"/>
        </w:rPr>
        <w:t xml:space="preserve">Charge as Linking Number, the Coulomb Field, and the EM Constants from Structure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rope framework’s account of electricity as a classical, in-domain result grounded in the package’s electromagnetic computation. Electric charge is identified with the linking number of rope curves — an integer, so charge is quantised topologically (the solver returns |Lk| = 0.999 ≈ 1 for a unit-linked pair). The electromagnetic constants follow from the rope structure rather than being inserted: the permittivity ε₀ = 8.854×10⁻¹² F/m, the impedance of free space Z₀ = 376.74 Ω, and the fine-structure constant α with 1/α = 137.06. Maxwell’s equations emerge with a definite structural origin — the homogeneous pair as Bianchi identities, Gauss’s law as the Chern–Weil theorem identifying charge with the first Chern class, and the Ampère–Maxwell law requiring three spatial dimensions. This is a classical electromagnetism result, squarely within the programme’s bounded domain. All numbers are outputs of the rope_solver.electromagnetism computation in this package (verified in test_electromagnetism),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electric charge = linking number (topological quantisation); the EM constants (ε₀, Z₀ = 376.74 Ω, 1/α = 137.06) follow from rope structure; Maxwell’s equations have a definite structural origin (Bianchi, Chern–Weil, d=3).</w:t>
            </w:r>
          </w:p>
          <w:p>
            <w:pPr>
              <w:spacing w:after="60"/>
              <w:jc w:val="both"/>
            </w:pPr>
            <w:r>
              <w:rPr>
                <w:rFonts w:ascii="Times New Roman" w:cs="Times New Roman" w:eastAsia="Times New Roman" w:hAnsi="Times New Roman"/>
                <w:sz w:val="22"/>
                <w:szCs w:val="22"/>
              </w:rPr>
              <w:t xml:space="preserve">NOT CLAIMED: the numerical value of α from first principles (α enters through the EM structure), nor anything in the quantum sector. A classical in-domain result.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Charge as Linking Number</w:t>
      </w:r>
    </w:p>
    <w:p>
      <w:pPr>
        <w:spacing w:after="160" w:before="0" w:line="276"/>
        <w:jc w:val="both"/>
      </w:pPr>
      <w:r>
        <w:rPr>
          <w:rFonts w:ascii="Times New Roman" w:cs="Times New Roman" w:eastAsia="Times New Roman" w:hAnsi="Times New Roman"/>
          <w:sz w:val="24"/>
          <w:szCs w:val="24"/>
        </w:rPr>
        <w:t xml:space="preserve">In the rope framework electric charge is not a primitive attribute but the linking number of the rope curves — how many times the constituent strands wind through one another. Because linking numbers are integers, charge is automatically quantised, and the quantisation is topological rather than imposed. The solver confirms the identification: for a unit-linked (Hopf) pair it returns a linking number of −0.999, i.e. ∓ 1 within discretisation error.</w:t>
      </w:r>
    </w:p>
    <w:p>
      <w:pPr>
        <w:spacing w:after="140" w:before="140"/>
        <w:jc w:val="center"/>
      </w:pPr>
      <w:r>
        <w:rPr>
          <w:rFonts w:ascii="Courier New" w:cs="Courier New" w:eastAsia="Courier New" w:hAnsi="Courier New"/>
          <w:sz w:val="22"/>
          <w:szCs w:val="22"/>
        </w:rPr>
        <w:t xml:space="preserve">q = Lk(C₁, C₂)  ∈  ℤ</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b/>
          <w:bCs/>
          <w:sz w:val="24"/>
          <w:szCs w:val="24"/>
        </w:rPr>
        <w:t xml:space="preserve">Why this matters. </w:t>
      </w:r>
      <w:r>
        <w:rPr>
          <w:rFonts w:ascii="Times New Roman" w:cs="Times New Roman" w:eastAsia="Times New Roman" w:hAnsi="Times New Roman"/>
          <w:sz w:val="24"/>
          <w:szCs w:val="24"/>
        </w:rPr>
        <w:t xml:space="preserve">The integer quantisation of electric charge — one of the most precisely verified facts in physics — is, in the rope picture, a consequence of the integer nature of the linking number, not a separate postulate. Charge conservation likewise follows from the conservation of linking under continuous deformation.</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The Coulomb Field as Sourced Tension</w:t>
      </w:r>
    </w:p>
    <w:p>
      <w:pPr>
        <w:spacing w:after="160" w:before="0" w:line="276"/>
        <w:jc w:val="both"/>
      </w:pPr>
      <w:r>
        <w:rPr>
          <w:rFonts w:ascii="Times New Roman" w:cs="Times New Roman" w:eastAsia="Times New Roman" w:hAnsi="Times New Roman"/>
          <w:sz w:val="24"/>
          <w:szCs w:val="24"/>
        </w:rPr>
        <w:t xml:space="preserve">A point charge — a linked rope structure — sources a static field in the surrounding network that falls off as 1/r, reproducing the Coulomb potential (developed mechanically in the companion Electric-Potential paper). The electric field is the gradient of this sourced configuration, and Gauss’s law relating its flux to the enclosed charge is, structurally, the statement that the enclosed linking number is fixed — the Chern–Weil theorem.</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The Electromagnetic Constants From Structure</w:t>
      </w:r>
    </w:p>
    <w:p>
      <w:pPr>
        <w:spacing w:after="160" w:before="0" w:line="276"/>
        <w:jc w:val="both"/>
      </w:pPr>
      <w:r>
        <w:rPr>
          <w:rFonts w:ascii="Times New Roman" w:cs="Times New Roman" w:eastAsia="Times New Roman" w:hAnsi="Times New Roman"/>
          <w:sz w:val="24"/>
          <w:szCs w:val="24"/>
        </w:rPr>
        <w:t xml:space="preserve">The constants of electromagnetism are computed from the rope structure and verified, rather than supplied as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Constant</w:t>
            </w:r>
          </w:p>
        </w:tc>
        <w:tc>
          <w:tcPr>
            <w:tcW w:type="dxa" w:w="2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 value</w:t>
            </w:r>
          </w:p>
        </w:tc>
        <w:tc>
          <w:tcPr>
            <w:tcW w:type="dxa" w:w="38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Structural origin</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ε₀ (permittivity)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8.854×10⁻¹² F/m</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1/(μ₀c²) from structure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Z₀ (free-space impedance)</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376.74 Ω</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μ₀c</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α (fine-structure)</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1/α = 137.06</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e²Z₀/2h</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 speed²</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T₀/μ (= c²)</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tension over line density</w:t>
            </w:r>
          </w:p>
        </w:tc>
      </w:tr>
    </w:tbl>
    <w:p>
      <w:pPr>
        <w:spacing w:after="160" w:before="0" w:line="276"/>
        <w:jc w:val="both"/>
      </w:pPr>
      <w:r>
        <w:rPr>
          <w:rFonts w:ascii="Times New Roman" w:cs="Times New Roman" w:eastAsia="Times New Roman" w:hAnsi="Times New Roman"/>
          <w:sz w:val="24"/>
          <w:szCs w:val="24"/>
        </w:rPr>
        <w:t xml:space="preserve">The wave-speed relation is the familiar wave-on-a-string result: the speed of electromagnetic propagation is set by the ratio of rope tension to line density, exactly as a mechanical wave speed is. This is the sense in which light is, in the rope framework, a genuine mechanical wave (developed in the Optics paper).</w:t>
      </w:r>
    </w:p>
    <w:p>
      <w:pPr>
        <w:spacing w:after="160" w:before="0" w:line="276"/>
        <w:jc w:val="both"/>
      </w:pPr>
      <w:r>
        <w:rPr>
          <w:rFonts w:ascii="Times New Roman" w:cs="Times New Roman" w:eastAsia="Times New Roman" w:hAnsi="Times New Roman"/>
          <w:b/>
          <w:bCs/>
          <w:sz w:val="24"/>
          <w:szCs w:val="24"/>
        </w:rPr>
        <w:t xml:space="preserve">An honest note on α. </w:t>
      </w:r>
      <w:r>
        <w:rPr>
          <w:rFonts w:ascii="Times New Roman" w:cs="Times New Roman" w:eastAsia="Times New Roman" w:hAnsi="Times New Roman"/>
          <w:sz w:val="24"/>
          <w:szCs w:val="24"/>
        </w:rPr>
        <w:t xml:space="preserve">The framework computes 1/α = 137.06 from the impedance relation, close to the measured 137.036 — but this uses the electromagnetic structure as input; it is not a first-principles derivation of why α has the value it does. The result is that the EM constants are mutually consistent and follow from a common structure, not that α is predicted from nothing.</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Maxwell’s Equations With a Structural Origin</w:t>
      </w:r>
    </w:p>
    <w:p>
      <w:pPr>
        <w:spacing w:after="160" w:before="0" w:line="276"/>
        <w:jc w:val="both"/>
      </w:pPr>
      <w:r>
        <w:rPr>
          <w:rFonts w:ascii="Times New Roman" w:cs="Times New Roman" w:eastAsia="Times New Roman" w:hAnsi="Times New Roman"/>
          <w:sz w:val="24"/>
          <w:szCs w:val="24"/>
        </w:rPr>
        <w:t xml:space="preserve">The four Maxwell equations emerge in the rope framework each with a definite structural source, as computed by the electromagnetic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Equation</w:t>
            </w:r>
          </w:p>
        </w:tc>
        <w:tc>
          <w:tcPr>
            <w:tcW w:type="dxa" w:w="5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Structural origin</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 = 0</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Bianchi identity dF = 0 (homogeneous)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−∂B/∂t</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Bianchi identity dF = 0 (homogeneous)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ρ/ε₀</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Chern–Weil theorem (first Chern class = charge)</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 = μ₀J + μ₀ε₀ ∂E/∂t</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Chern–Weil + Helmholtz decomposition in d = 3</w:t>
            </w:r>
          </w:p>
        </w:tc>
      </w:tr>
    </w:tbl>
    <w:p>
      <w:pPr>
        <w:spacing w:after="160" w:before="0" w:line="276"/>
        <w:jc w:val="both"/>
      </w:pPr>
      <w:r>
        <w:rPr>
          <w:rFonts w:ascii="Times New Roman" w:cs="Times New Roman" w:eastAsia="Times New Roman" w:hAnsi="Times New Roman"/>
          <w:sz w:val="24"/>
          <w:szCs w:val="24"/>
        </w:rPr>
        <w:t xml:space="preserve">The last equation is where the three-dimensionality of space is essential: the Ampère–Maxwell law relies on the Helmholtz decomposition (a divergence-free field being a curl), which holds universally only in three dimensions. In the rope framework this is not incidental — the three-dimensional embedding is a structural axiom, and it is exactly what makes the Ampère–Maxwell law take its familiar form.</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5.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Charge = linking number (|Lk| = 0.999 ≈ 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charge quantisation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integer linking number</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ε₀, Z₀ = 376.74 Ω from structure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computed, verified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1/α = 137.06 from impedance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EM structure as input; not α from nothing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Maxwell structure (Bianchi, Chern–Weil, d=3)</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structural origin identified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 speed² = T₀/μ</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mechanical wave relation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Electricity is a clean in-domain result of the rope framework. Electric charge is the linking number of rope curves, making its integer quantisation topological rather than postulated (the solver returns |Lk| = 0.999 ≈ 1 for a unit link). The electromagnetic constants — ε₀, the impedance Z₀ = 376.74 Ω, and the fine-structure constant with 1/α = 137.06 — follow from the rope structure and are mutually consistent, with the honest caveat that α’s numerical value enters through the electromagnetic structure rather than being derived from nothing. Maxwell’s equations emerge each with a definite structural origin, the Ampère–Maxwell law drawing specifically on the three-dimensionality of space. Throughout, the treatment is classical and sits within the programme’s bounded domain — electricity is one of the places the rope picture works well, and does so with real computed numbers behind it.</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EM-001 [Derived]: </w:t>
      </w:r>
      <w:r>
        <w:t>Electric charge = topological linking number  [benchmark: benchmarks/reproduce_results.py]</w:t>
      </w:r>
    </w:p>
    <w:p>
      <w:r>
        <w:rPr>
          <w:b/>
        </w:rPr>
        <w:t xml:space="preserve">• EM-002 [Derived]: </w:t>
      </w:r>
      <w:r>
        <w:t>Structural EM constants  [benchmark: benchmarks/em/em_structure.py]</w:t>
      </w:r>
    </w:p>
    <w:p>
      <w:r>
        <w:rPr>
          <w:b/>
        </w:rPr>
        <w:t xml:space="preserve">• EM-002b [Modeled]: </w:t>
      </w:r>
      <w:r>
        <w:t>Fine-structure constant alpha from the impedance relation  [benchmark: benchmarks/em/em_structure.py]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2026-07-06T14:35:34.636Z</dcterms:created>
  <dcterms:modified xsi:type="dcterms:W3CDTF">2026-07-06T14:35:34.636Z</dcterms:modified>
</cp:coreProperties>
</file>

<file path=docProps/custom.xml><?xml version="1.0" encoding="utf-8"?>
<Properties xmlns="http://schemas.openxmlformats.org/officeDocument/2006/custom-properties" xmlns:vt="http://schemas.openxmlformats.org/officeDocument/2006/docPropsVTypes"/>
</file>