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Gravity in the Rope Framework: Newtonian Success and a Classical Obstruction to the Einstein Metric</w:t>
      </w:r>
    </w:p>
    <w:p>
      <w:r>
        <w:t>Version 2, July 2026 -- a full rebuild on external review. Version 1 grew by correction addenda until it contained two mutually contradictory papers in one file; a reader stopping early received the opposite of the final result. The complete v1 record, with its addendum trail, is archived in the corpus (rope_gravity_v1_archived.docx); the machine-verified claim registry (GRV-001 through GRV-017) is the authoritative history.</w:t>
      </w:r>
    </w:p>
    <w:p>
      <w:r>
        <w:rPr>
          <w:b/>
        </w:rPr>
        <w:t>Abstract</w:t>
      </w:r>
    </w:p>
    <w:p>
      <w:r>
        <w:t>We report the complete classical gravity investigation of the Rope Programme. The Newtonian sector succeeds: inverse-square attraction follows from static force balance of the elastic network, with the 1/r potential forced by three-dimensional elastostatics and the 1/r² force made topology-independent by tension-flux conservation. The Einstein weak-field sector fails, and fails as a theorem: within the defined class of local, harmonic, co-material response channels, every constructible mechanism yields an effective PPN parameter γ ∈ [−1, 0] against the measured γ = 1, predicting 0.44 arcseconds of solar light deflection against the photographed 1.75. The present classical rope programme is therefore falsified as a theory of Einstein weak-field gravity. A successful completion would require physics outside its established classical response sector; quantum-induced metric dynamics is the programme's leading conjecture. The obstruction's premises are enumerated as an explicit attack surface and have survived their first external attacks, twice emerging strengthened.</w:t>
      </w:r>
    </w:p>
    <w:p>
      <w:r>
        <w:rPr>
          <w:b/>
        </w:rPr>
        <w:t>Status table (read this first)</w:t>
      </w:r>
    </w:p>
    <w:tbl>
      <w:tblPr>
        <w:tblStyle w:val="TableGrid"/>
        <w:tblW w:type="auto" w:w="0"/>
        <w:tblLook w:firstColumn="1" w:firstRow="1" w:lastColumn="0" w:lastRow="0" w:noHBand="0" w:noVBand="1" w:val="04A0"/>
      </w:tblPr>
      <w:tblGrid>
        <w:gridCol w:w="2880"/>
        <w:gridCol w:w="2880"/>
        <w:gridCol w:w="2880"/>
      </w:tblGrid>
      <w:tr>
        <w:tc>
          <w:tcPr>
            <w:tcW w:type="dxa" w:w="2880"/>
          </w:tcPr>
          <w:p>
            <w:r>
              <w:t>Sub-sector</w:t>
            </w:r>
          </w:p>
        </w:tc>
        <w:tc>
          <w:tcPr>
            <w:tcW w:type="dxa" w:w="2880"/>
          </w:tcPr>
          <w:p>
            <w:r>
              <w:t>Status</w:t>
            </w:r>
          </w:p>
        </w:tc>
        <w:tc>
          <w:tcPr>
            <w:tcW w:type="dxa" w:w="2880"/>
          </w:tcPr>
          <w:p>
            <w:r>
              <w:t>Basis</w:t>
            </w:r>
          </w:p>
        </w:tc>
      </w:tr>
      <w:tr>
        <w:tc>
          <w:tcPr>
            <w:tcW w:type="dxa" w:w="2880"/>
          </w:tcPr>
          <w:p>
            <w:r>
              <w:t>Newtonian mechanism</w:t>
            </w:r>
          </w:p>
        </w:tc>
        <w:tc>
          <w:tcPr>
            <w:tcW w:type="dxa" w:w="2880"/>
          </w:tcPr>
          <w:p>
            <w:r>
              <w:t>DERIVED</w:t>
            </w:r>
          </w:p>
        </w:tc>
        <w:tc>
          <w:tcPr>
            <w:tcW w:type="dxa" w:w="2880"/>
          </w:tcPr>
          <w:p>
            <w:r>
              <w:t>Force balance -&gt; Poisson -&gt; 1/r (GRV-005); flux conservation -&gt; 1/r^2, topology-independent (GRV-013)</w:t>
            </w:r>
          </w:p>
        </w:tc>
      </w:tr>
      <w:tr>
        <w:tc>
          <w:tcPr>
            <w:tcW w:type="dxa" w:w="2880"/>
          </w:tcPr>
          <w:p>
            <w:r>
              <w:t>Zero point (uniform vacuum)</w:t>
            </w:r>
          </w:p>
        </w:tc>
        <w:tc>
          <w:tcPr>
            <w:tcW w:type="dxa" w:w="2880"/>
          </w:tcPr>
          <w:p>
            <w:r>
              <w:t>DERIVED (structural)</w:t>
            </w:r>
          </w:p>
        </w:tc>
        <w:tc>
          <w:tcPr>
            <w:tcW w:type="dxa" w:w="2880"/>
          </w:tcPr>
          <w:p>
            <w:r>
              <w:t>Uniform network of any tension is flat; deviations gravitate (GRV-004)</w:t>
            </w:r>
          </w:p>
        </w:tc>
      </w:tr>
      <w:tr>
        <w:tc>
          <w:tcPr>
            <w:tcW w:type="dxa" w:w="2880"/>
          </w:tcPr>
          <w:p>
            <w:r>
              <w:t>Einstein weak field (classical)</w:t>
            </w:r>
          </w:p>
        </w:tc>
        <w:tc>
          <w:tcPr>
            <w:tcW w:type="dxa" w:w="2880"/>
          </w:tcPr>
          <w:p>
            <w:r>
              <w:t>FALSIFIED within the defined class</w:t>
            </w:r>
          </w:p>
        </w:tc>
        <w:tc>
          <w:tcPr>
            <w:tcW w:type="dxa" w:w="2880"/>
          </w:tcPr>
          <w:p>
            <w:r>
              <w:t>gamma in [-1,0] vs measured 1; 0.44'' vs 1.75'' (GRV-008..013, 015, 017)</w:t>
            </w:r>
          </w:p>
        </w:tc>
      </w:tr>
      <w:tr>
        <w:tc>
          <w:tcPr>
            <w:tcW w:type="dxa" w:w="2880"/>
          </w:tcPr>
          <w:p>
            <w:r>
              <w:t>Quantum-induced completion</w:t>
            </w:r>
          </w:p>
        </w:tc>
        <w:tc>
          <w:tcPr>
            <w:tcW w:type="dxa" w:w="2880"/>
          </w:tcPr>
          <w:p>
            <w:r>
              <w:t>CONJECTURE (leading; underived)</w:t>
            </w:r>
          </w:p>
        </w:tc>
        <w:tc>
          <w:tcPr>
            <w:tcW w:type="dxa" w:w="2880"/>
          </w:tcPr>
          <w:p>
            <w:r>
              <w:t>Independently motivated pre-verdict; untestable at current reach (GRV-014)</w:t>
            </w:r>
          </w:p>
        </w:tc>
      </w:tr>
    </w:tbl>
    <w:p>
      <w:r>
        <w:t>Sector classification: MATURE NEGATIVE RESULT — Newtonian mechanism derived; classical Einstein completion falsified; quantum completion open.</w:t>
      </w:r>
    </w:p>
    <w:p>
      <w:r>
        <w:rPr>
          <w:b/>
        </w:rPr>
        <w:t>1. The Newtonian sector: what the network derives</w:t>
      </w:r>
    </w:p>
    <w:p>
      <w:r>
        <w:t>A mass-knot is a stressed defect; static force balance of the elastic network (div stress = −f) IS the conservation law, so the Poisson equation and the 1/r potential are forced by three-dimensional elastostatics, and the tension-flux conservation theorem makes the 1/r² force law topology-independent — no branching or merging of ropes escapes it. Action-at-a-distance dissolves in pre-existing connection. The zero-point theorem resolves the vacuum problem's static half: a uniform network of any tension density is gravitationally flat; only deviations gravitate. Gaede's mechanism, formalized, is credited with the Newtonian success (Appendix A).</w:t>
      </w:r>
    </w:p>
    <w:p>
      <w:r>
        <w:rPr>
          <w:b/>
        </w:rPr>
        <w:t>2. Historical: the target metric, and why matching it was not a derivation</w:t>
      </w:r>
    </w:p>
    <w:p>
      <w:r>
        <w:t>The programme's original gravity claim exhibited a conformally-matched isotropic Schwarzschild metric reproducing γ = β = 1 and the 1.751'' deflection. Its correct classification, adopted here on external review: TARGET ANSATZ — it reproduces general relativity by construction and was not generated by the identified rope mechanics. Its legitimate role was to define the target the mechanics must hit. The campaign below establishes that, within the defined classical class, the mechanics cannot hit it. Nothing in this section is evidence for the framework, and the registry entry (GRV-001) carries the same reclassification.</w:t>
      </w:r>
    </w:p>
    <w:p>
      <w:r>
        <w:rPr>
          <w:b/>
        </w:rPr>
        <w:t>3. The campaign, at a glance</w:t>
      </w:r>
    </w:p>
    <w:p>
      <w:r>
        <w:t>Factor-2 reduced to one linear response constraint; EP identity derived (GRV-008)</w:t>
      </w:r>
    </w:p>
    <w:p>
      <w:r>
        <w:t>↓  Strain conditioning rejected: gamma = -4/7 (GRV-009)</w:t>
      </w:r>
    </w:p>
    <w:p>
      <w:r>
        <w:t>↓  Mode bath rejected after three self-corrections: gamma = -1/2 universally (GRV-010)</w:t>
      </w:r>
    </w:p>
    <w:p>
      <w:r>
        <w:t>↓  Anisotropic route: exact tidal theorem + the range obstruction (GRV-011)</w:t>
      </w:r>
    </w:p>
    <w:p>
      <w:r>
        <w:t>↓  Classical verdict registered at full strength (GRV-012)</w:t>
      </w:r>
    </w:p>
    <w:p>
      <w:r>
        <w:t>↓  Channel-space hunt concluded: shadows, anchored tension, branching, threshold contact all excluded (GRV-013)</w:t>
      </w:r>
    </w:p>
    <w:p>
      <w:r>
        <w:t>↓  Quantum-induced completion conjectured -- a separate hypothesis, not an extension (GRV-014)</w:t>
      </w:r>
    </w:p>
    <w:p>
      <w:r>
        <w:t>↓  Reviewer's graph-structural attack absorbed: fourth response column derived; clocks decouple; sign-lock theorem; no-go strengthened (GRV-015)</w:t>
      </w:r>
    </w:p>
    <w:p>
      <w:r>
        <w:t>↓  Premise audit: four premises reduce to two primitives; topological exception allocated to EM, triply closed (GRV-016)</w:t>
      </w:r>
    </w:p>
    <w:p>
      <w:r>
        <w:t>↓  Kelvin loophole closed by the no-monopole lemma (GRV-017)</w:t>
      </w:r>
    </w:p>
    <w:p>
      <w:r>
        <w:rPr>
          <w:b/>
        </w:rPr>
        <w:t>4. The theorems, with premises as hypotheses</w:t>
      </w:r>
    </w:p>
    <w:p>
      <w:r>
        <w:t>PRECISION NOTES adopted on external review govern every statement below. (a) The gauge statement, correctly phrased: local constitutive energy is invariant under rigid translation and therefore depends on deformation gradients rather than absolute displacement — uniform translation is unobservable; spatially varying displacement is physically meaningful. (b) THE NO-MONOPOLE LEMMA (GRV-017), closing a real loophole: in three-dimensional elasticity a point FORCE gives displacement ~ 1/r (Kelvin) and strain ~ 1/r²; but a static, isolated defect in equilibrium exerts zero net force on the medium (else it accelerates), so the Kelvin amplitude — which IS the net force — vanishes for every admissible mass-source, and the ladder begins at the force-free order: u ~ 1/r², strain ~ 1/r³. (c) The sourcing-exhaustion argument operates under EXPLICIT HYPOTHESES, stated as part of the theorem rather than as mechanisms not found: H1 one independent harmonic scalar; H2 local constitutive response; H3 quasi-static transport; H4 no scale-free nonlocal kernel; H5 no independent tensor order parameter; H6 no long-range orientational phase unrelated to anchored-rope fractions. THE RESULTS: the EP identity (local wave speed invariant under arbitrary conditioning, including the tortuosity channel — co-materiality, derived not assumed); the single-γ theorem with γ = 1 iff σ = l + m/2 − (3/2)τ; the metric-order obstruction (strain capped at tidal order 1/r³ by the no-monopole lemma, while the metric requires potential order 1/r — with the substrate containing GR's tidal tensor (2, −1, −1) exactly, one derivative too high); and sourcing exhaustion (potential-range fields are direction-blind and sign-locking; direction carriers dilute as 1/r² by solid angle; tension flux is conserved through spheres). CLASS-SPECIFIC CONCLUSION, stated at its actual strength: every mechanism within the defined class of local, harmonic, co-material rope responses yields γ ∈ [−1, 0]. Engineered classical media with multiple coupled fields, nonlocal constitutive laws, tensor order parameters, or background flows lie outside this class and this claim.</w:t>
      </w:r>
    </w:p>
    <w:p>
      <w:r>
        <w:rPr>
          <w:b/>
        </w:rPr>
        <w:t>5. The verdict</w:t>
      </w:r>
    </w:p>
    <w:p>
      <w:r>
        <w:t>The present classical rope programme is falsified as a theory of Einstein weak-field gravity: its derived prediction is γ = −1/2 and 0.44 arcseconds of solar deflection against the measured γ = 1 (|γ − 1| &lt; 2.3×10⁻⁵, Cassini) and the photographed 1.75 arcseconds. A successful completion would require physics outside its established classical response sector; quantum-induced metric dynamics is the programme's leading conjecture.</w:t>
      </w:r>
    </w:p>
    <w:p>
      <w:r>
        <w:rPr>
          <w:b/>
        </w:rPr>
        <w:t>6. The escape space, honestly enumerated</w:t>
      </w:r>
    </w:p>
    <w:p>
      <w:r>
        <w:t>Quantum induction is the leading conjecture — independently motivated before the verdict (the ħ-entanglement of G; the registered Sakharov route; the exact Lorentz invariance of the coupled sector) — but it is not the unique logical escape. Also outside the theorem's hypotheses, each substantially altering the ontology: an additional independent long-range field with the required anti-correlated response (violating H1); a genuinely nonlocal constitutive law (H4); a non-equilibrium substrate (H3); a collective tensor order parameter not reducible to local strain (H5); a long-range orientational phase (H6); or modification of interpenetrability and the local-response premise. None currently has a derivation; the quantum route is 'leading' because it alone is motivated elsewhere in the corpus rather than invented for the escape.</w:t>
      </w:r>
    </w:p>
    <w:p>
      <w:r>
        <w:rPr>
          <w:b/>
        </w:rPr>
        <w:t>7. The attack surface, and its record under fire</w:t>
      </w:r>
    </w:p>
    <w:p>
      <w:r>
        <w:t>The premises reduce to two primitives — local response with translation-invariant constitutive energy (gauge up to topology), and harmonic statics outside sources — plus hypotheses H1–H6 for sourcing exhaustion. The topological exception is real and allocated: winding holonomy is physical and IS the electromagnetic sector; gravity cannot recruit it (neutral sources give dipole-and-faster fields; Eötvös universality excludes charge-coupled free fall to ~10⁻¹³; global constraints are zero-modes). Record under attack: the graph-structural challenge produced the fourth response column and a strengthened no-go; the Kelvin challenge produced the no-monopole lemma. Within the presently identified classes of classical response channels, no remaining avenue is known. Conditions that would overturn this conclusion: a classical channel evading solid-angle dilution; an anti-correlated second harmonic field arising from stated commitments; a demonstrated 1/r traceless conditioning at locked ratio 1/4; an explicit induced-action calculation yielding γ = 1; or experimental contradiction of the scalar prediction where classical channels dominate.</w:t>
      </w:r>
    </w:p>
    <w:p>
      <w:r>
        <w:rPr>
          <w:b/>
        </w:rPr>
        <w:t>8. Lessons</w:t>
      </w:r>
    </w:p>
    <w:p>
      <w:r>
        <w:t>What failed: isotropic conditioning of every construction; strain; the mode bath; anchored and branching tension; threshold contact; graph tortuosity. What survived: the Newtonian mechanism; the Poisson derivation; the zero-point theorem; the exact tidal geometry; the four-response machinery. What became clearer: metric order differs from strain order by one derivative no classical channel crosses; scalar media naturally produce γ ≈ −1/2, explaining a century of mechanical gravity theories that captured Newton and failed light deflection; Newton is the fixed point of conservation plus solid angle, and the same conservation forbids Einstein — a mechanism's Newtonian success and its Einsteinian failure can be the same mathematical fact. The framework-independent statement of these results is the companion paper, 'A Metric-Order Obstruction for Classical Harmonic Media.'</w:t>
      </w:r>
    </w:p>
    <w:p>
      <w:r>
        <w:rPr>
          <w:b/>
        </w:rPr>
        <w:t>Appendix A: Gaede’s proposal, mapped onto this verdict</w:t>
      </w:r>
    </w:p>
    <w:p>
      <w:r>
        <w:t>Gaede's gravity — tension in the literal ropes interconnecting all atoms, with light and gravity one mechanism — is credited with the Newtonian success: formalized, his anchored-tension picture delivers the inverse-square force by flux conservation, dissolves action-at-a-distance, and ties gravity's weakness to rope-count dilution. His non-uniform-tension claim is mechanically realizable through branching (trunk tension sums), and fails by the same conservation theorem that grants him Newton. What his account never engages is the Einstein-level phenomenology — and 1.75 arcseconds is a photographed angle, not a formalism. Under his own visualizability criterion no verdict is renderable; under this programme's quantitative standard, the verdict is Section 5. The credit and the criteria difference are both on the record.</w:t>
      </w:r>
    </w:p>
    <w:p>
      <w:r>
        <w:rPr>
          <w:i/>
        </w:rPr>
        <w:t>A mechanism's Newtonian success and its Einsteinian failure can be the same mathematical fact.</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GRV-001 [Modeled]: </w:t>
      </w:r>
      <w:r>
        <w:t>Rope effective metric is IDENTIFIED WITH isotropic Schwarzschild in the weak field  [benchmark: benchmarks/reproduce_results.py]</w:t>
      </w:r>
    </w:p>
    <w:p>
      <w:r>
        <w:rPr>
          <w:b/>
        </w:rPr>
        <w:t xml:space="preserve">• GRV-002 [Derived]: </w:t>
      </w:r>
      <w:r>
        <w:t>Given the matched weak-field metric  [benchmark: benchmarks/reproduce_results.py]</w:t>
      </w:r>
    </w:p>
    <w:p>
      <w:r>
        <w:rPr>
          <w:b/>
        </w:rPr>
        <w:t xml:space="preserve">• GRV-003 [Modeled]: </w:t>
      </w:r>
      <w:r>
        <w:t>Weak-field field equation  [benchmark: benchmarks/gravity/weak_field_poisson.py]</w:t>
      </w:r>
    </w:p>
    <w:p>
      <w:r>
        <w:rPr>
          <w:b/>
        </w:rPr>
        <w:t xml:space="preserve">• GRV-004 [Modeled]: </w:t>
      </w:r>
      <w:r>
        <w:t>ZERO-POINT THEOREM  [benchmark: benchmarks/gravity/zero_point_and_poisson.py]</w:t>
      </w:r>
    </w:p>
    <w:p>
      <w:r>
        <w:rPr>
          <w:b/>
        </w:rPr>
        <w:t xml:space="preserve">• GRV-005 [Modeled]: </w:t>
      </w:r>
      <w:r>
        <w:t>GRV-003's assumed premise DERIVED from network statics  [benchmark: benchmarks/gravity/zero_point_and_poisson.py]</w:t>
      </w:r>
    </w:p>
    <w:p>
      <w:r>
        <w:rPr>
          <w:b/>
        </w:rPr>
        <w:t xml:space="preserve">• GRV-006 [Derived]: </w:t>
      </w:r>
      <w:r>
        <w:t>G is NOT derivable from current commitments  [benchmark: benchmarks/gravity/g_underdetermination.py]</w:t>
      </w:r>
    </w:p>
    <w:p>
      <w:r>
        <w:rPr>
          <w:b/>
        </w:rPr>
        <w:t xml:space="preserve">• GRV-007 [Modeled]: </w:t>
      </w:r>
      <w:r>
        <w:t>CONJECTURE  [benchmark: benchmarks/gravity/g_underdetermination.py]</w:t>
      </w:r>
    </w:p>
    <w:p>
      <w:r>
        <w:rPr>
          <w:b/>
        </w:rPr>
        <w:t xml:space="preserve">• GRV-008 [Derived]: </w:t>
      </w:r>
      <w:r>
        <w:t>TENSOR STRUCTURE REDUCED  [benchmark: benchmarks/gravity/tensor_structure_reduction.py]</w:t>
      </w:r>
    </w:p>
    <w:p>
      <w:r>
        <w:rPr>
          <w:b/>
        </w:rPr>
        <w:t xml:space="preserve">• GRV-009 [Failed]: </w:t>
      </w:r>
      <w:r>
        <w:t>FAILED CANDIDATE  [benchmark: benchmarks/gravity/tensor_structure_reduction.py]</w:t>
      </w:r>
    </w:p>
    <w:p>
      <w:r>
        <w:rPr>
          <w:b/>
        </w:rPr>
        <w:t xml:space="preserve">• GRV-010 [Failed]: </w:t>
      </w:r>
      <w:r>
        <w:t>FAILED  [benchmark: benchmarks/gravity/mode_bath_gamma.py]</w:t>
      </w:r>
    </w:p>
    <w:p>
      <w:r>
        <w:rPr>
          <w:b/>
        </w:rPr>
        <w:t xml:space="preserve">• GRV-011 [Modeled]: </w:t>
      </w:r>
      <w:r>
        <w:t>EXECUTED  [benchmark: benchmarks/gravity/anisotropic_defect_field.py]</w:t>
      </w:r>
    </w:p>
    <w:p>
      <w:r>
        <w:rPr>
          <w:b/>
        </w:rPr>
        <w:t xml:space="preserve">• GRV-012 [Open]: </w:t>
      </w:r>
      <w:r>
        <w:t>STANDING ADVERSE VERDICT  [benchmark: benchmarks/gravity/anisotropic_defect_field.py]</w:t>
      </w:r>
    </w:p>
    <w:p>
      <w:r>
        <w:rPr>
          <w:b/>
        </w:rPr>
        <w:t xml:space="preserve">• GRV-013 [Derived]: </w:t>
      </w:r>
      <w:r>
        <w:t>THE HUNT CONCLUDED -- NO-GO  [benchmark: benchmarks/gravity/locked_quadrupole_hunt.py]</w:t>
      </w:r>
    </w:p>
    <w:p>
      <w:r>
        <w:rPr>
          <w:b/>
        </w:rPr>
        <w:t xml:space="preserve">• GRV-014 [Conjecture]: </w:t>
      </w:r>
      <w:r>
        <w:t>CONJECTURE  [benchmark: benchmarks/gravity/quantum_completion_audit.py]</w:t>
      </w:r>
    </w:p>
    <w:p>
      <w:r>
        <w:rPr>
          <w:b/>
        </w:rPr>
        <w:t xml:space="preserve">• GRV-016 [Modeled]: </w:t>
      </w:r>
      <w:r>
        <w:t>PREMISE-INDEPENDENCE AUDIT  [benchmark: benchmarks/gravity/premise_independence_audit.py]</w:t>
      </w:r>
    </w:p>
    <w:p>
      <w:r>
        <w:rPr>
          <w:b/>
        </w:rPr>
        <w:t xml:space="preserve">• GRV-017 [Derived]: </w:t>
      </w:r>
      <w:r>
        <w:t>NO-MONOPOLE LEMMA  [benchmark: benchmarks/gravity/no_monopole_lemma.py]</w:t>
      </w:r>
    </w:p>
    <w:p>
      <w:r>
        <w:rPr>
          <w:b/>
        </w:rPr>
        <w:t xml:space="preserve">• GRV-018 [Derived]: </w:t>
      </w:r>
      <w:r>
        <w:t>INTERNAL-MODE DICHOTOMY  [benchmark: benchmarks/gravity/internal_mode_dichotomy.py]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