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Twenty Predictions, One Discriminator, and a Reproducibility Standard</w:t>
      </w:r>
    </w:p>
    <w:p>
      <w:pPr>
        <w:pStyle w:val="BodyText"/>
      </w:pPr>
      <w:r>
        <w:t xml:space="preserve">Mark Palmer · June 2026, rebuilt July 2026 (v2.2.5)</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r>
        <w:t xml:space="preserve"> Second use (FND-043): a measured nonzero drift ratio selects the source length l_q’s composition, which through the inversion kappa_pack = (l_q/a ÷ 43.0)^6 reads off the vacuum packing -- one measurement, channel identification and vacuum metrology both.</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The relation. Consistency of additivity, Lorentz invariance and the corpus's coherence count forces the vacuum stiffness Sigma_eff = 3.61e35 J/m^3 (pinned by measurement, FND-030; the historical 5.1e35 registration is demoted -- same relation, dead strand count).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QGATE-007 [Modeled]: THE VACUUM STIFFNESS BOUND Sigma_eff = 3.61e35 J/m^3 (pinned by measurement, FND-030; the historical 5.1e35 registration is demoted -- same relation, dead strand count)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Currently consistent (LHAASO PeV transparency vs the dispersive bound, five orders of headroom).</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p>
      <w:pPr>
        <w:pStyle w:val="BodyText"/>
      </w:pPr>
      <w:r>
        <w:rPr>
          <w:b/>
        </w:rPr>
        <w:t>PREDICTION 20 -- Casimir-scaling violation of the static potential (the vacuum-stiffness tower; v3.17.0 arc, FND-037..047)</w:t>
      </w:r>
    </w:p>
    <w:p>
      <w:pPr>
        <w:pStyle w:val="BodyText"/>
      </w:pPr>
      <w:r>
        <w:t>Status: Modeled, conditional on FND-037 (Conjecture) at the FND-040 floors (kappa_pack &gt;= 50 / 250).</w:t>
      </w:r>
    </w:p>
    <w:p>
      <w:pPr>
        <w:pStyle w:val="BodyText"/>
      </w:pPr>
      <w:r>
        <w:t>The relation. The medium’s derived softening (an inextensible constant-tension mesh loses stiffness by pure arc-length geometry; FND-040, Derived from registered premises) predicts long-distance Casimir-scaling violations in the confining regime: delta_D - delta_f = -(eps_f/2)(C_D/C_f - 1), eps_f = 1/kappa_pack. The violation is C2-LINEAR with a suppressed, beyond-mean-field quartic-Casimir component (on a single static source every power of the charge is a Casimir number; d^abcd first arises from path-ordered multi-exchange -- FND-046, explicit-matrix verified). Sign NEGATIVE: higher representations under-bind.</w:t>
      </w:r>
    </w:p>
    <w:p>
      <w:pPr>
        <w:pStyle w:val="BodyText"/>
      </w:pPr>
      <w:r>
        <w:t>Numbers. Adjoint/fundamental (C_A/C_F = 2.25): delta_A - delta_F = -1.25% at kappa_pack = 50; -0.25% at kappa_pack = 250.</w:t>
      </w:r>
    </w:p>
    <w:p>
      <w:pPr>
        <w:pStyle w:val="BodyText"/>
      </w:pPr>
      <w:r>
        <w:t>The pin. Exact inversion: kappa_pack = (C_D/C_f - 1)/(2|delta_D - delta_f|). A percent-level lattice determination of the long-distance adjoint/fundamental ratio measures the vacuum packing directly.</w:t>
      </w:r>
    </w:p>
    <w:p>
      <w:pPr>
        <w:pStyle w:val="BodyText"/>
      </w:pPr>
      <w:r>
        <w:t>Confrontation to date (FND-047). Bali’s continuum-extrapolated eight-representation SU(3) study (PRD 62, 114503, 2000) excludes violations above 5% to 1 fm: kappa_pack &gt;= 12.5, consistent with both readings, tightening neither. Decision table: 1.25% decides the 5% floor; 0.5% implies &gt;= 125; 0.25% reaches the continuum reading and tests the whole tower. Achievable modern lattice work in the 0.5-1 fm window, below adjoint screening.</w:t>
      </w:r>
    </w:p>
    <w:p>
      <w:pPr>
        <w:pStyle w:val="BodyText"/>
      </w:pPr>
      <w:r>
        <w:t>Falsifiers. A quartic-DOMINANT long-distance violation kills; a resolved POSITIVE deviation kills the derived sign; magnitude forcing eps_f &gt; 5% kills the floor.</w:t>
      </w:r>
    </w:p>
    <w:p>
      <w:pPr>
        <w:pStyle w:val="BodyText"/>
      </w:pPr>
      <w:r/>
      <w:r/>
      <w:r>
        <w:t>Scope, DECIDED (FND-050, author’s grant, 2026-08-11): N-UNIVERSAL. The softening mechanism is claimed for SU(N) generally, not SU(3) alone — the derivations reference no colour number, and the corpus declines an N-dependence its derivations do not exhibit. The price is owned: SU(N&gt;=4) k-string tensions favour the sine law (Del Debbio et al., PRD 65, 021501), but k-strings are BUNDLES of k unit windings (by screening/N-ality and by this framework’s additive winding charge), so that data measures inter-tube BINDING rather than the single-source softening of this prediction. The framework therefore OWES a bundle-binding relation computed from the derived quartic, whose (N, k) form confronts sine-vs-Casimir (the laws differ at O(1/N^2)). A contradiction there would falsify the corpus, not merely miss; retreat to SU(3) scope afterwards is refused in advance. Running start, not evidence: the qualitative bundle prediction sigma_k &lt; k sigma_1 holds on every dataset under both laws. Calibrations remain SU(3)-anchored.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