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The Field-Tensor Dictionary: From the Mechanical State of a Tensioned Two-Strand Rope to Electromagnetism</w:t>
      </w:r>
    </w:p>
    <w:p>
      <w:pPr>
        <w:pStyle w:val="FirstParagraph"/>
      </w:pPr>
      <w:r>
        <w:t xml:space="preserve">Mark Palmer · with computational collaboration by Claude (Anthropic)</w:t>
      </w:r>
    </w:p>
    <w:p>
      <w:pPr>
        <w:pStyle w:val="FirstParagraph"/>
      </w:pPr>
      <w:r>
        <w:t xml:space="preserve">Charlotte, NC · palmer100@gmail.com</w:t>
      </w:r>
    </w:p>
    <w:p>
      <w:r>
        <w:t>July 2026. The rigorous assembly of the corpus’s electromagnetic identifications into a single mapping: mechanical state → potentials → field tensor → forces, with every line either Derived or explicitly flagged, and both force-sign rules obtained from mechanics with nothing put in by hand.</w:t>
      </w:r>
    </w:p>
    <w:p>
      <w:r>
        <w:rPr>
          <w:b/>
        </w:rPr>
        <w:t>1. The mechanical state variables</w:t>
      </w:r>
    </w:p>
    <w:p>
      <w:r>
        <w:t>The two-strand rope under tension T₀ carries one internal gapless degree of freedom: the braid phase Φ, the single Goldstone mode of the internal symmetry (the screw generator; the one-generator theorem, GRV-020). Its derivatives are the physically meaningful densities: the TWIST DENSITY η = ∂Φ/∂s (structural handedness per unit length) and the ROTATION RATE ω = ∂Φ/∂t (the helix turning like a screw). The tension channel couples to twist through the twist-stretch lock, k_tw = k + λγ²τ₀² with γ = 1/sin²θ derived from helix geometry (EM-RECON-012). Coarse-graining the strand orientations over many ropes yields the orientation field, carrying a connection in the fiber-bundle sense (GG-001).</w:t>
      </w:r>
    </w:p>
    <w:p>
      <w:r>
        <w:rPr>
          <w:b/>
        </w:rPr>
        <w:t>2. The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Electromagnetic object</w:t>
            </w:r>
          </w:p>
        </w:tc>
        <w:tc>
          <w:tcPr>
            <w:tcW w:type="dxa" w:w="2160"/>
          </w:tcPr>
          <w:p>
            <w:r>
              <w:t>Mechanical identity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Claims</w:t>
            </w:r>
          </w:p>
        </w:tc>
      </w:tr>
      <w:tr>
        <w:tc>
          <w:tcPr>
            <w:tcW w:type="dxa" w:w="2160"/>
          </w:tcPr>
          <w:p>
            <w:r>
              <w:t>Charge q</w:t>
            </w:r>
          </w:p>
        </w:tc>
        <w:tc>
          <w:tcPr>
            <w:tcW w:type="dxa" w:w="2160"/>
          </w:tcPr>
          <w:p>
            <w:r>
              <w:t>Winding / linking number of the two strands: an integer; handedness is the sign</w:t>
            </w:r>
          </w:p>
        </w:tc>
        <w:tc>
          <w:tcPr>
            <w:tcW w:type="dxa" w:w="2160"/>
          </w:tcPr>
          <w:p>
            <w:r>
              <w:t>Derived (quantized)</w:t>
            </w:r>
          </w:p>
        </w:tc>
        <w:tc>
          <w:tcPr>
            <w:tcW w:type="dxa" w:w="2160"/>
          </w:tcPr>
          <w:p>
            <w:r>
              <w:t>GG-006, EM-001</w:t>
            </w:r>
          </w:p>
        </w:tc>
      </w:tr>
      <w:tr>
        <w:tc>
          <w:tcPr>
            <w:tcW w:type="dxa" w:w="2160"/>
          </w:tcPr>
          <w:p>
            <w:r>
              <w:t>Current J</w:t>
            </w:r>
          </w:p>
        </w:tc>
        <w:tc>
          <w:tcPr>
            <w:tcW w:type="dxa" w:w="2160"/>
          </w:tcPr>
          <w:p>
            <w:r>
              <w:t>Transported linking: the helix turned like a screw; one turn = one linking unit past each cross-section; div J = 0 is the no-wind-up condition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EM-008, EM-014</w:t>
            </w:r>
          </w:p>
        </w:tc>
      </w:tr>
      <w:tr>
        <w:tc>
          <w:tcPr>
            <w:tcW w:type="dxa" w:w="2160"/>
          </w:tcPr>
          <w:p>
            <w:r>
              <w:t>Vector potential A</w:t>
            </w:r>
          </w:p>
        </w:tc>
        <w:tc>
          <w:tcPr>
            <w:tcW w:type="dxa" w:w="2160"/>
          </w:tcPr>
          <w:p>
            <w:r>
              <w:t>The coarse-grained orientation connection; gauge freedom = phase-convention arbitrariness (physically: rigid braid-phase relabeling, the GRV-020 symmetry)</w:t>
            </w:r>
          </w:p>
        </w:tc>
        <w:tc>
          <w:tcPr>
            <w:tcW w:type="dxa" w:w="2160"/>
          </w:tcPr>
          <w:p>
            <w:r>
              <w:t>Derived (framework)</w:t>
            </w:r>
          </w:p>
        </w:tc>
        <w:tc>
          <w:tcPr>
            <w:tcW w:type="dxa" w:w="2160"/>
          </w:tcPr>
          <w:p>
            <w:r>
              <w:t>GG-001, GG-004</w:t>
            </w:r>
          </w:p>
        </w:tc>
      </w:tr>
      <w:tr>
        <w:tc>
          <w:tcPr>
            <w:tcW w:type="dxa" w:w="2160"/>
          </w:tcPr>
          <w:p>
            <w:r>
              <w:t>Scalar potential φ</w:t>
            </w:r>
          </w:p>
        </w:tc>
        <w:tc>
          <w:tcPr>
            <w:tcW w:type="dxa" w:w="2160"/>
          </w:tcPr>
          <w:p>
            <w:r>
              <w:t>The twist–tension channel: stored twist transmitted to tension by the twist-stretch lock</w:t>
            </w:r>
          </w:p>
        </w:tc>
        <w:tc>
          <w:tcPr>
            <w:tcW w:type="dxa" w:w="2160"/>
          </w:tcPr>
          <w:p>
            <w:r>
              <w:t>Modeled</w:t>
            </w:r>
          </w:p>
        </w:tc>
        <w:tc>
          <w:tcPr>
            <w:tcW w:type="dxa" w:w="2160"/>
          </w:tcPr>
          <w:p>
            <w:r>
              <w:t>EM-RECON-011, -012</w:t>
            </w:r>
          </w:p>
        </w:tc>
      </w:tr>
      <w:tr>
        <w:tc>
          <w:tcPr>
            <w:tcW w:type="dxa" w:w="2160"/>
          </w:tcPr>
          <w:p>
            <w:r>
              <w:t>E_i = F_i0 = −∂_iφ − ∂_tA_i</w:t>
            </w:r>
          </w:p>
        </w:tc>
        <w:tc>
          <w:tcPr>
            <w:tcW w:type="dxa" w:w="2160"/>
          </w:tcPr>
          <w:p>
            <w:r>
              <w:t>Static part: along-rope tension/twist gradient. Induction part: time-varying orientation transport (Faraday, inside dF = 0)</w:t>
            </w:r>
          </w:p>
        </w:tc>
        <w:tc>
          <w:tcPr>
            <w:tcW w:type="dxa" w:w="2160"/>
          </w:tcPr>
          <w:p>
            <w:r>
              <w:t>Assembled here</w:t>
            </w:r>
          </w:p>
        </w:tc>
        <w:tc>
          <w:tcPr>
            <w:tcW w:type="dxa" w:w="2160"/>
          </w:tcPr>
          <w:p>
            <w:r>
              <w:t>EM-RECON-011, EM-003</w:t>
            </w:r>
          </w:p>
        </w:tc>
      </w:tr>
      <w:tr>
        <w:tc>
          <w:tcPr>
            <w:tcW w:type="dxa" w:w="2160"/>
          </w:tcPr>
          <w:p>
            <w:r>
              <w:t>B_i = ½ε_ijk F_jk</w:t>
            </w:r>
          </w:p>
        </w:tc>
        <w:tc>
          <w:tcPr>
            <w:tcW w:type="dxa" w:w="2160"/>
          </w:tcPr>
          <w:p>
            <w:r>
              <w:t>Curl of the orientation field: the surrounding network's circulating response to the rotation rate ω</w:t>
            </w:r>
          </w:p>
        </w:tc>
        <w:tc>
          <w:tcPr>
            <w:tcW w:type="dxa" w:w="2160"/>
          </w:tcPr>
          <w:p>
            <w:r>
              <w:t>Derived / Modeled</w:t>
            </w:r>
          </w:p>
        </w:tc>
        <w:tc>
          <w:tcPr>
            <w:tcW w:type="dxa" w:w="2160"/>
          </w:tcPr>
          <w:p>
            <w:r>
              <w:t>EM-009, EM-010, EM-014</w:t>
            </w:r>
          </w:p>
        </w:tc>
      </w:tr>
      <w:tr>
        <w:tc>
          <w:tcPr>
            <w:tcW w:type="dxa" w:w="2160"/>
          </w:tcPr>
          <w:p>
            <w:r>
              <w:t>Field magnitude</w:t>
            </w:r>
          </w:p>
        </w:tc>
        <w:tc>
          <w:tcPr>
            <w:tcW w:type="dxa" w:w="2160"/>
          </w:tcPr>
          <w:p>
            <w:r>
              <w:t>g = E·√(ε₀/Σ): strain per field, with ONE constant Σ = T₀n_L (vacuum tension density), bounded by ATLAS/PVLAS</w:t>
            </w:r>
          </w:p>
        </w:tc>
        <w:tc>
          <w:tcPr>
            <w:tcW w:type="dxa" w:w="2160"/>
          </w:tcPr>
          <w:p>
            <w:r>
              <w:t>Modeled (calibrated form)</w:t>
            </w:r>
          </w:p>
        </w:tc>
        <w:tc>
          <w:tcPr>
            <w:tcW w:type="dxa" w:w="2160"/>
          </w:tcPr>
          <w:p>
            <w:r>
              <w:t>EM-RECON-014, -016</w:t>
            </w:r>
          </w:p>
        </w:tc>
      </w:tr>
      <w:tr>
        <w:tc>
          <w:tcPr>
            <w:tcW w:type="dxa" w:w="2160"/>
          </w:tcPr>
          <w:p>
            <w:r>
              <w:t>Maxwell equations</w:t>
            </w:r>
          </w:p>
        </w:tc>
        <w:tc>
          <w:tcPr>
            <w:tcW w:type="dxa" w:w="2160"/>
          </w:tcPr>
          <w:p>
            <w:r>
              <w:t>dF = 0 (Bianchi identity) + d∗F = J (Chern–Weil, d = 3)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EM-003</w:t>
            </w:r>
          </w:p>
        </w:tc>
      </w:tr>
      <w:tr>
        <w:tc>
          <w:tcPr>
            <w:tcW w:type="dxa" w:w="2160"/>
          </w:tcPr>
          <w:p>
            <w:r>
              <w:t>Lorentz force q(E + v×B)</w:t>
            </w:r>
          </w:p>
        </w:tc>
        <w:tc>
          <w:tcPr>
            <w:tcW w:type="dxa" w:w="2160"/>
          </w:tcPr>
          <w:p>
            <w:r>
              <w:t>From the coupling q v·a, FORCED by gauge invariance + current conservation; correct coefficient; ⊥ to v and B; does no work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EM-013, EM-010</w:t>
            </w:r>
          </w:p>
        </w:tc>
      </w:tr>
      <w:tr>
        <w:tc>
          <w:tcPr>
            <w:tcW w:type="dxa" w:w="2160"/>
          </w:tcPr>
          <w:p>
            <w:r>
              <w:t>Magnetic force sign</w:t>
            </w:r>
          </w:p>
        </w:tc>
        <w:tc>
          <w:tcPr>
            <w:tcW w:type="dxa" w:w="2160"/>
          </w:tcPr>
          <w:p>
            <w:r>
              <w:t>Gap geometry: same-sense circulations produce opposite swing velocities between wires → mesh → attract; opposite → clash → repel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EM-012</w:t>
            </w:r>
          </w:p>
        </w:tc>
      </w:tr>
      <w:tr>
        <w:tc>
          <w:tcPr>
            <w:tcW w:type="dxa" w:w="2160"/>
          </w:tcPr>
          <w:p>
            <w:r>
              <w:t>Electrostatic force sign</w:t>
            </w:r>
          </w:p>
        </w:tc>
        <w:tc>
          <w:tcPr>
            <w:tcW w:type="dxa" w:w="2160"/>
          </w:tcPr>
          <w:p>
            <w:r>
              <w:t>Constraint-source superposition: like twist fields ADD between knots (repel); opposite CANCEL (attract); +q₁q₂/(4πKd)</w:t>
            </w:r>
          </w:p>
        </w:tc>
        <w:tc>
          <w:tcPr>
            <w:tcW w:type="dxa" w:w="2160"/>
          </w:tcPr>
          <w:p>
            <w:r>
              <w:t>Derived (new)</w:t>
            </w:r>
          </w:p>
        </w:tc>
        <w:tc>
          <w:tcPr>
            <w:tcW w:type="dxa" w:w="2160"/>
          </w:tcPr>
          <w:p>
            <w:r>
              <w:t>EM-015</w:t>
            </w:r>
          </w:p>
        </w:tc>
      </w:tr>
    </w:tbl>
    <w:p>
      <w:r>
        <w:rPr>
          <w:b/>
        </w:rPr>
        <w:t>3. The electrostatic sign theorem (the new result)</w:t>
      </w:r>
    </w:p>
    <w:p>
      <w:r>
        <w:t>The trap, named first: a quadratic field between sources does NOT automatically repel like charges. With COUPLING sources (an energy term −ρΦ, the structure of scalar exchange), the minimized interaction is −q₁q₂/(4πKd): like charges attract — which is why scalar-mediated forces attract and why naive arguments get Coulomb backwards. The rope winding is not a coupling source. Winding number is TOPOLOGY: a boundary condition on the braid-phase configuration space, with nothing to couple and nothing to switch off. For such CONSTRAINT sources the energy is purely (K/2)|∇Φ|² on the constrained minimizer, and superposition gives U = +q₁q₂/(4πKd): like windings repel, opposite attract, with the 1/d potential and 1/d² force of Coulomb's law. The laboratory precedent is exact: superfluid vortices are constraint-sourced quadratic fields, and like-sign vortices repel while vortex–antivortex pairs attract. Electron and positron are opposite handedness (GG-006): opposite winding, hence attraction. The benchmark verifies both the analytic dichotomy (the two source types provably carry opposite signs, so the trap is permanently fenced) and the mechanism on a lattice of actual winding defects: the like pair's energy falls with separation (repulsion), the opposite pair's rises (attraction). In plain terms: like-handed twist fields add in the region between the knots, storing more energy when they are close, so they are pushed apart; opposite-handed fields cancel between the knots, so they are pulled together. With the magnetic half (the gap-geometry rule of EM-012), the sign ledger of electromagnetism is now closed entirely by geometry.</w:t>
      </w:r>
    </w:p>
    <w:p>
      <w:r>
        <w:rPr>
          <w:b/>
        </w:rPr>
        <w:t>4. The status ledger: the four debts, all discharged</w:t>
      </w:r>
    </w:p>
    <w:p>
      <w:r>
        <w:t xml:space="preserve">The dictionary was assembled with four debts explicit. As of 2026-08-11 all four are discharged by derivation. The history is kept here rather than erased, because the route matters as much as the result.</w:t>
      </w:r>
    </w:p>
    <w:p>
      <w:r>
        <w:t xml:space="preserve">(iv) UNIQUENESS - DISCHARGED (EM-017, Derived). Any mechanical assignment predicting the same force on every test winding at every velocity yields the same (E, B) pointwise: E follows from a static probe under the registered operational definition (force per winding), B by explicit inversion of v x B on three independent velocities, F_munu pointwise, and the potentials up to gauge by the Poincare lemma on EM-003's dF = 0, gauge freedom being registered as physical phase-convention arbitrariness. The duality rotation, named in advance as the defeater, fails both arithmetically and structurally: charge is winding and no magnetic monopole is registered, so the rotated sources cannot be represented.</w:t>
      </w:r>
    </w:p>
    <w:p>
      <w:r>
        <w:t xml:space="preserve">(iii) THE SCALAR POTENTIAL'S CHANNEL - DISCHARGED (EM-018, Derived). Over the closed inventory of registered mechanical channels, the transverse carrier is excluded by Helmholtz - every transverse mode obeys k.e = 0 and is therefore divergence-free, while the curl-free and divergence-free subspaces meet only at zero, so a gradient E has exactly zero projection onto it. The screw/torsion mode is excluded structurally, since it carries winding and therefore IS the charge rather than its mediator. The longitudinal/tension channel is the only survivor, and its gaplessness - derived in EM-RECON-012 for the independent reason that u is gauge so no mass term is writable - is precisely what long-range Coulomb requires, a gapped mediator giving Yukawa rather than 1/r.</w:t>
      </w:r>
    </w:p>
    <w:p>
      <w:r>
        <w:t xml:space="preserve">(ii) THE INERTIAL TERM - DISCHARGED AS TO FORM (EM-019, Derived). The easy Newtonian move is unavailable here, since FND-REL-002 establishes there is no material velocity. What works instead is that the same shift symmetry which forbids a mass term permits the inertial one, because a gauge label's rate of change is observable even when the label is not. Under a -&gt; a + c0 the mass term changes by c0(c0+2a)/2 and the mixed term by c0 da/dt, while (da/dt)^2 and (grad a)^2 are exactly invariant. At two-derivative order only EM-007's stiffness and the inertial term survive. Residuals recorded: the coefficient is matched to EM-RECON-025's registered branch rather than independently derived, and the uniqueness argument assumes locality.</w:t>
      </w:r>
    </w:p>
    <w:p>
      <w:r>
        <w:t xml:space="preserve">(i) SIGMA'S ABSOLUTE VALUE - DISCHARGED (EM-021). Sigma is not a free constant: it is its own definition T0 n_L evaluated on the registered mesh, where n_L = 1/a^2 per strand family, giving 6.0e36 to 9.0e37 J/m^3 across the packing floors. The ~1e25 J/m^3 formerly quoted here was never a measurement but a LOWER BOUND saturated by an assumed equality (Sigma &gt;= eps0 E_S^2/g*^2 from Schwinger-scale onset, with 'equality = the identification' stated in the source), and QGATE-007 withdrew the saturating assumption by showing that unpolarized light-by-light carries no structure information and that its rate is degenerate with normalization. A value eleven orders above a lower bound satisfies it: every combination of packing floor, n_L convention and g* clears the Schwinger requirement by five to six orders. FND-031's independently registered E_crit = 2.0e23 V/m had already run this confrontation on the pinned Sigma.</w:t>
      </w:r>
    </w:p>
    <w:p>
      <w:r>
        <w:t xml:space="preserve">Consequences, and the grade. Every identification in the dictionary is now forced: nothing in the mapping from mechanical state to field tensor is a choice, and the corpus's central identification claim GG-005 ('F IS the electromagnetic field; topology IS charge') no longer rests on any undischarged debt. On 2026-08-11 the author raised this assembly to DERIVED, registered as its own auditable act (EM-022) rather than folded into the discharges, because three of the four discharges were produced in the same session and a grade raised by its own evidence-producing session cannot otherwise be checked.</w:t>
      </w:r>
    </w:p>
    <w:p>
      <w:r>
        <w:t xml:space="preserve">THE GRADE CARRIES THREE CONDITIONALITIES, which travel with it and are not shed. (C1) Sigma = T0 n_L evaluates on the registered mesh, which sits on the kappa_pack floors held by FND-037's Conjecture-grade nonlinearity form; Sigma therefore spans 6.0e36 to 9.0e37 J/m^3 across the floors. This is a parameter conditionality inherited from the inputs rather than an unfilled step in the mapping - as every claim inherits the electron-mass calibration - but it does mean a Derived grade resting on a chain whose upper reaches are Conjecture-held, and the paper does not pretend otherwise. (C2) The inertial term's coefficient is matched to EM-RECON-025's registered branch rather than independently derived. (C3) The inertial term's uniqueness argument assumes locality, so a genuinely nonlocal kernel would evade it.</w:t>
      </w:r>
    </w:p>
    <w:p>
      <w:r>
        <w:t xml:space="preserve">A FALSIFIER IS ARMED, because a grade that cannot be lost is not a grade. If the kappa_pack floors move materially, or if FND-037's quadratic-nonlinearity form is refuted, this assembly's grade returns to adjudication rather than keeping the label by seniority.</w:t>
      </w:r>
    </w:p>
    <w:p>
      <w:r>
        <w:t xml:space="preserve">A downstream correction belongs with this section. EM-RECON-015's effective vacuum mass density of ~1e8 kg/m^3 was computed from the superseded ~1e25 Sigma and is stale by ten to twelve orders. The live figures are 4.0e18 kg/m^3 on Sigma_eff - matching FND-031's independently registered fence of 17.5x nuclear - and 2.0e20 on the 3T0/a^2 reading. The vacuum-energy problem that claim flagged is therefore substantially larger than it states, not smaller.</w:t>
      </w:r>
    </w:p>
    <w:p>
      <w:r>
        <w:rPr>
          <w:b/>
        </w:rPr>
        <w:t>5. What would strengthen each line</w:t>
      </w:r>
    </w:p>
    <w:p>
      <w:r>
        <w:t>Deriving Σ from the mesh scale and tension (blocked at present by the same irreducibility results that block a and ħ); deriving EM-010's inertial term from strand dynamics; promoting the φ-channel identification by an independent prediction in the static sector; and a uniqueness argument — or a counterexample assignment, which would be equally valuable and would go into the registry the same way everything else has.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The connection fixed: A is the rotated collective displacement (E-RECON, 5 September 2026)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gap that surfaced.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dictionary's Faraday half, E = -grad φ - dA/dt with A the orientation connection (EM-016), and the Magnus force identification E = ρκ₀(v_medium × ẑ) (EM-RECON-026) were both Derived-class statements about the same field, and until a boundary question was put to them nobody had checked that they agree. Commission CASIMIR-PLATE asked what a perfect conductor (tangential E = 0) imposes on the medium and found that, read as 'the strand slope', the connection gives a Neumann-class condition on the collective transverse displacement while the Magnus form gives a Dirichlet-class one; worse, for a transverse plane wave the two readings did not even agree on the polarization of E. The commission halted at its reading leg (CAS-BC-OPEN), as its charter required.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reconciliation.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Commission E-RECON (analysis/ERECON_results.md; EM-023, registered) fixed two candidate identifications of A in advance, the tilt ds/dz and the rotated displacement, and tested each symbolically against four conditions: pointwise agreement of -dA/dt with the Magnus E for every medium motion, transverse E for a transverse plane wave, GG-004's gauge content, and reproduction of the Magnus form's constant B′ = -ρκ₀ẑ as the background of curl A. Exactly one candidate passes all four: A = -ρκ₀ (s × ẑ), with s the collective transverse displacement of EM-RECON-025. Under it -dA/dt = ρκ₀(v × ẑ) identically; a transverse wave along z polarized in x gives E = ρκ₀ f′ ŷ, in-plane and transverse; a uniform translation of s shifts A by the gradient of a linear function, pure gauge; and curl A = -κ₀ρ ∂s/∂z in-plane plus ρκ₀ div_⊥ s along z, which is exactly B = -κ₀ ρ_total ẑ with ρ_total = ρ(1 - div_⊥ s): the Magnus B′ is the unperturbed background, its perturbation the mesh compression, and the in-plane part the strand tilt. B is minus κ₀ times the strand-direction flux density, which makes literal the phrase this dictionary already used for the static field, 'rest-tension flux geometry, rope count' (EM-RECON-011).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What changes in the table above.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row for the vector potential keeps its status; its mechanical identity is now stated precisely: the orientation connection is the rotated collective displacement, and 'orientation-transport rate' in the E row reads as the rate of the transported displacement, not the strand slope. The tilt candidate gives a different field for the same motion and is excluded. EM-016's grade is untouched; a reading it left open is fixed, consistent with EM-017's operational uniqueness. The corollary the boundary question was waiting for follows uniquely: a perfect conductor pins the tangential collective displacement at the plate (Dirichlet on both transverse bands, effective separation d + 1 on the lattice) and levels the twist-tension field φ along it. The Casimir computation this unblocked is in progress; its result belongs to a later revision of this paper.</w:t>
      </w:r>
    </w:p>
    <w:p>
      <w:r>
        <w:rPr>
          <w:b/>
        </w:rPr>
        <w:t>Registered Claims in This Paper</w:t>
      </w:r>
    </w:p>
    <w:p>
      <w:r>
        <w:t>Each statement below is traceable to the machine-readable registry (claims.yaml), the corpus's single source of truth. Status labels: Derived (follows from stated mechanics), Modeled (reproduces data with declared inputs), EFT-constrained (bounded by effective-theory limits), Conjecture (proposed, not derived), Open (registered unsolved problem), Failed (falsified, kept as a finding). Where a claim is code-backed, the named benchmark reruns it.</w:t>
      </w:r>
    </w:p>
    <w:p>
      <w:r>
        <w:rPr>
          <w:b/>
        </w:rPr>
        <w:t xml:space="preserve">• EM-015 [Derived]: </w:t>
      </w:r>
      <w:r>
        <w:t>ELECTROSTATIC SIGN THEOREM  [benchmark: benchmarks/em/electrostatic_sign_derivation.py]</w:t>
      </w:r>
    </w:p>
    <w:p>
      <w:r>
        <w:rPr>
          <w:b/>
        </w:rPr>
        <w:t xml:space="preserve">• EM-015 [Derived]: </w:t>
      </w:r>
      <w:r>
        <w:t>ELECTROSTATIC SIGN THEOREM  [benchmark: benchmarks/em/electrostatic_sign_derivation.py]</w:t>
      </w:r>
    </w:p>
    <w:p>
      <w:r>
        <w:rPr>
          <w:b/>
        </w:rPr>
        <w:t xml:space="preserve">• EM-016 [Modeled]: </w:t>
      </w:r>
      <w:r>
        <w:t>THE FIELD-TENSOR DICTIONARY  [benchmark: benchmarks/em/electrostatic_sign_derivation.py]</w:t>
      </w:r>
    </w:p>
    <w:p>
      <w:r>
        <w:rPr>
          <w:b/>
        </w:rPr>
        <w:t xml:space="preserve">• EM-016 [Modeled]: </w:t>
      </w:r>
      <w:r>
        <w:t>THE FIELD-TENSOR DICTIONARY  [benchmark: benchmarks/em/electrostatic_sign_derivation.py]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EM-023 [registered]: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ORIENTATION CONNECTION IS THE ROTATED COLLECTIVE DISPLACEMENT, A = -ρκ₀ (s × ẑ); EM-016's E and EM-RECON-026's E are one field; a perfect conductor pins the tangential displacement (analysis/ERECON_results.md)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