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40" w:line="276"/>
        <w:jc w:val="center"/>
      </w:pPr>
      <w:r>
        <w:rPr>
          <w:rFonts w:ascii="Times New Roman" w:cs="Times New Roman" w:eastAsia="Times New Roman" w:hAnsi="Times New Roman"/>
          <w:b/>
          <w:bCs/>
          <w:sz w:val="36"/>
          <w:szCs w:val="36"/>
        </w:rPr>
        <w:t xml:space="preserve">Topological Defects in the Rope Medium</w:t>
      </w:r>
    </w:p>
    <w:p>
      <w:pPr>
        <w:spacing w:after="120" w:before="0" w:line="276"/>
        <w:jc w:val="center"/>
      </w:pPr>
      <w:r>
        <w:rPr>
          <w:rFonts w:ascii="Times New Roman" w:cs="Times New Roman" w:eastAsia="Times New Roman" w:hAnsi="Times New Roman"/>
          <w:b/>
          <w:bCs/>
          <w:sz w:val="20"/>
          <w:szCs w:val="20"/>
        </w:rPr>
        <w:t xml:space="preserve">Completing the Regime the Homogenization Derivation Deferred: Vortex Energetics, Charge Quantization, Interaction, and Reconnection</w:t>
      </w:r>
    </w:p>
    <w:p>
      <w:pPr>
        <w:spacing w:after="60" w:before="0" w:line="276"/>
        <w:jc w:val="center"/>
      </w:pPr>
      <w:r>
        <w:rPr>
          <w:rFonts w:ascii="Times New Roman" w:cs="Times New Roman" w:eastAsia="Times New Roman" w:hAnsi="Times New Roman"/>
          <w:sz w:val="22"/>
          <w:szCs w:val="22"/>
        </w:rPr>
        <w:t xml:space="preserve">Mark Palmer · with computational collaboration by Claude (Anthropic)</w:t>
      </w:r>
    </w:p>
    <w:p>
      <w:pPr>
        <w:spacing w:after="60" w:before="0" w:line="276"/>
        <w:jc w:val="center"/>
      </w:pPr>
      <w:r>
        <w:rPr>
          <w:rFonts w:ascii="Times New Roman" w:cs="Times New Roman" w:eastAsia="Times New Roman" w:hAnsi="Times New Roman"/>
          <w:color w:val="666666"/>
          <w:sz w:val="20"/>
          <w:szCs w:val="20"/>
        </w:rPr>
        <w:t xml:space="preserve">Charlotte, NC · palmer100@gmail.com</w:t>
      </w:r>
    </w:p>
    <w:p>
      <w:pPr>
        <w:pBdr>
          <w:bottom w:val="single" w:color="7B2D26" w:sz="6" w:space="1"/>
        </w:pBdr>
        <w:spacing w:after="0" w:before="0"/>
      </w:pPr>
      <w:r>
        <w:rPr>
          <w:sz w:val="22"/>
          <w:szCs w:val="22"/>
        </w:rPr>
        <w:t xml:space="preserve"/>
      </w:r>
    </w:p>
    <w:p>
      <w:pPr>
        <w:spacing w:after="80"/>
      </w:pPr>
      <w:r>
        <w:rPr>
          <w:sz w:val="22"/>
          <w:szCs w:val="22"/>
        </w:rPr>
        <w:t xml:space="preserve"/>
      </w:r>
    </w:p>
    <w:p>
      <w:pPr>
        <w:spacing w:after="160" w:before="0" w:line="276"/>
        <w:jc w:val="both"/>
      </w:pPr>
      <w:r>
        <w:rPr>
          <w:rFonts w:ascii="Times New Roman" w:cs="Times New Roman" w:eastAsia="Times New Roman" w:hAnsi="Times New Roman"/>
          <w:sz w:val="24"/>
          <w:szCs w:val="24"/>
        </w:rPr>
        <w:t xml:space="preserve">Naming note (5 September 2026). This programme is now the Mesh Programme and the theory it develops the mesh framework; 'the rope framework' in earlier revisions reads 'the mesh framework'. 'Rope' remains the name of the two-strand wound object, and the Rope Hypothesis credited to Bill Gaede keeps its name. Identifiers (repository, rope_solver, file names, claim IDs) are unchanged.</w:t>
      </w:r>
    </w:p>
    <w:p>
      <w:pPr>
        <w:pStyle w:val="Heading1"/>
        <w:spacing w:after="150" w:before="340"/>
      </w:pPr>
      <w:r>
        <w:rPr>
          <w:rFonts w:ascii="Times New Roman" w:cs="Times New Roman" w:eastAsia="Times New Roman" w:hAnsi="Times New Roman"/>
          <w:b/>
          <w:bCs/>
          <w:color w:val="1F3864"/>
          <w:sz w:val="28"/>
          <w:szCs w:val="28"/>
        </w:rPr>
        <w:t xml:space="preserve">Abstract</w:t>
      </w:r>
    </w:p>
    <w:p>
      <w:pPr>
        <w:spacing w:after="160" w:before="0" w:line="276"/>
        <w:jc w:val="both"/>
      </w:pPr>
      <w:r>
        <w:rPr>
          <w:rFonts w:ascii="Times New Roman" w:cs="Times New Roman" w:eastAsia="Times New Roman" w:hAnsi="Times New Roman"/>
          <w:sz w:val="24"/>
          <w:szCs w:val="24"/>
        </w:rPr>
        <w:t xml:space="preserve">The homogenization derivation established the continuum stiffness functional (K/2)∫|∇θ|² on vortex-free fields, and proved that hypothesis NECESSARY by exhibiting a vortex whose continuum energy diverges. It deferred the defect regime explicitly as a separate problem. This paper develops that deferred regime, on the same functional, closing the one gap the continuum chain openly flagged. We treat topological defects of the rope orientation field: a single vortex has the logarithmically divergent energy E = πK ln(R/a) — the very divergence that required its exclusion from homogenization — and we confirm the coefficient πK by direct lattice computation (numerical slope dE/d ln L = 3.151 versus π = 3.1416). Topological charge is the winding number, quantized to integers and conserved; a vortex–antivortex pair has FINITE energy 2πK ln(d/a), giving a logarithmic (two-dimensional Coulomb) interaction and the Berezinskii–Kosterlitz–Thouless picture of confinement and unbinding; and reconnection and annihilation change defect connectivity while conserving total charge. All five results are reproducibly computed (benchmarks/micromech/defect_theory.py, 5/5). The defect sector is thus not a new posit but the complement of the homogenization theorem: where that paper needed defects absent, this one shows exactly what they cost and how they behave, on the identical continuum functional.</w:t>
      </w:r>
    </w:p>
    <w:p>
      <w:pPr>
        <w:spacing w:after="8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F3864" w:sz="4"/>
              <w:left w:val="single" w:color="1F3864" w:sz="18"/>
              <w:bottom w:val="single" w:color="1F3864" w:sz="4"/>
              <w:right w:val="single" w:color="1F3864" w:sz="4"/>
            </w:tcBorders>
            <w:shd w:fill="F2F5F9" w:val="clear"/>
            <w:tcMar>
              <w:top w:type="dxa" w:w="120"/>
              <w:left w:type="dxa" w:w="200"/>
              <w:bottom w:type="dxa" w:w="120"/>
              <w:right w:type="dxa" w:w="160"/>
            </w:tcMar>
          </w:tcPr>
          <w:p>
            <w:pPr>
              <w:spacing w:after="60"/>
            </w:pPr>
            <w:r>
              <w:rPr>
                <w:rFonts w:ascii="Times New Roman" w:cs="Times New Roman" w:eastAsia="Times New Roman" w:hAnsi="Times New Roman"/>
                <w:b/>
                <w:bCs/>
                <w:color w:val="1F3864"/>
                <w:sz w:val="22"/>
                <w:szCs w:val="22"/>
              </w:rPr>
              <w:t xml:space="preserve">Scope of this paper</w:t>
            </w:r>
          </w:p>
          <w:p>
            <w:pPr>
              <w:spacing w:after="60"/>
              <w:jc w:val="both"/>
            </w:pPr>
            <w:r>
              <w:rPr>
                <w:rFonts w:ascii="Times New Roman" w:cs="Times New Roman" w:eastAsia="Times New Roman" w:hAnsi="Times New Roman"/>
                <w:sz w:val="22"/>
                <w:szCs w:val="22"/>
              </w:rPr>
              <w:t xml:space="preserve">CLAIM: on the same continuum functional (K/2)∫|∇θ|², topological defects have computable energetics — single-vortex energy πK ln(R/a) (coefficient confirmed numerically), integer conserved winding charge, finite pair energy 2πK ln(d/a) (BKT), and charge-conserving reconnection. This completes the defect regime the homogenization paper deferred.</w:t>
            </w:r>
          </w:p>
          <w:p>
            <w:pPr>
              <w:spacing w:after="60"/>
              <w:jc w:val="both"/>
            </w:pPr>
            <w:r>
              <w:rPr>
                <w:rFonts w:ascii="Times New Roman" w:cs="Times New Roman" w:eastAsia="Times New Roman" w:hAnsi="Times New Roman"/>
                <w:sz w:val="22"/>
                <w:szCs w:val="22"/>
              </w:rPr>
              <w:t xml:space="preserve">NOT CLAIMED: identification of these defects with specific physical particles or monopoles beyond the topological/energetic level computed here; and nothing quantum — this is classical continuum defect physics, away from the Bell boundary.</w:t>
            </w:r>
          </w:p>
        </w:tc>
      </w:tr>
    </w:tbl>
    <w:p>
      <w:pPr>
        <w:spacing w:after="80"/>
      </w:pPr>
      <w:r>
        <w:rPr>
          <w:sz w:val="22"/>
          <w:szCs w:val="22"/>
        </w:rPr>
        <w:t xml:space="preserve"/>
      </w:r>
    </w:p>
    <w:p>
      <w:pPr>
        <w:pBdr>
          <w:bottom w:val="single" w:color="7B2D26" w:sz="6" w:space="1"/>
        </w:pBdr>
        <w:spacing w:after="0" w:before="0"/>
      </w:pPr>
      <w:r>
        <w:rPr>
          <w:sz w:val="22"/>
          <w:szCs w:val="22"/>
        </w:rPr>
        <w:t xml:space="preserve"/>
      </w:r>
    </w:p>
    <w:p>
      <w:pPr>
        <w:spacing w:after="80"/>
      </w:pPr>
      <w:r>
        <w:rPr>
          <w:sz w:val="22"/>
          <w:szCs w:val="22"/>
        </w:rPr>
        <w:t xml:space="preserve"/>
      </w:r>
    </w:p>
    <w:p>
      <w:pPr>
        <w:pStyle w:val="Heading1"/>
        <w:spacing w:after="150" w:before="340"/>
      </w:pPr>
      <w:r>
        <w:rPr>
          <w:rFonts w:ascii="Times New Roman" w:cs="Times New Roman" w:eastAsia="Times New Roman" w:hAnsi="Times New Roman"/>
          <w:b/>
          <w:bCs/>
          <w:color w:val="1F3864"/>
          <w:sz w:val="28"/>
          <w:szCs w:val="28"/>
        </w:rPr>
        <w:t xml:space="preserve">1.  The Gap the Homogenization Derivation Left</w:t>
      </w:r>
    </w:p>
    <w:p>
      <w:pPr>
        <w:spacing w:after="160" w:before="0" w:line="276"/>
        <w:jc w:val="both"/>
      </w:pPr>
      <w:r>
        <w:rPr>
          <w:rFonts w:ascii="Times New Roman" w:cs="Times New Roman" w:eastAsia="Times New Roman" w:hAnsi="Times New Roman"/>
          <w:sz w:val="24"/>
          <w:szCs w:val="24"/>
        </w:rPr>
        <w:t xml:space="preserve">The homogenization derivation showed that the discrete endpoint-locking energy Γ-converges to the continuum functional (K/2)∫|∇θ|² on vortex-free fields, and it was careful to prove the vortex-free hypothesis necessary: a single vortex has finite core-regularised discrete energy but a non-integrable continuum core, so the continuum functional cannot represent it. The paper flagged the defect regime as a separate homogenization problem and set it aside.</w:t>
      </w:r>
    </w:p>
    <w:p>
      <w:pPr>
        <w:spacing w:after="160" w:before="0" w:line="276"/>
        <w:jc w:val="both"/>
      </w:pPr>
      <w:r>
        <w:rPr>
          <w:rFonts w:ascii="Times New Roman" w:cs="Times New Roman" w:eastAsia="Times New Roman" w:hAnsi="Times New Roman"/>
          <w:b/>
          <w:bCs/>
          <w:sz w:val="24"/>
          <w:szCs w:val="24"/>
        </w:rPr>
        <w:t xml:space="preserve">This paper closes that gap. </w:t>
      </w:r>
      <w:r>
        <w:rPr>
          <w:rFonts w:ascii="Times New Roman" w:cs="Times New Roman" w:eastAsia="Times New Roman" w:hAnsi="Times New Roman"/>
          <w:sz w:val="24"/>
          <w:szCs w:val="24"/>
        </w:rPr>
        <w:t xml:space="preserve">Rather than a new direction, defect theory is the missing complement of a result already in the corpus. The homogenization theorem told us defects must be excluded for the continuum functional to be valid; the honest follow-up is to say precisely what defects cost and how they behave. Everything below uses the SAME functional (K/2)∫|∇θ|² — no new energy is introduced — so the defect sector and the smooth sector are two faces of one continuum theory.</w:t>
      </w:r>
    </w:p>
    <w:p>
      <w:pPr>
        <w:spacing w:after="80"/>
      </w:pPr>
      <w:r>
        <w:rPr>
          <w:sz w:val="22"/>
          <w:szCs w:val="22"/>
        </w:rPr>
        <w:t xml:space="preserve"/>
      </w:r>
    </w:p>
    <w:p>
      <w:pPr>
        <w:pStyle w:val="Heading1"/>
        <w:spacing w:after="150" w:before="340"/>
      </w:pPr>
      <w:r>
        <w:rPr>
          <w:rFonts w:ascii="Times New Roman" w:cs="Times New Roman" w:eastAsia="Times New Roman" w:hAnsi="Times New Roman"/>
          <w:b/>
          <w:bCs/>
          <w:color w:val="1F3864"/>
          <w:sz w:val="28"/>
          <w:szCs w:val="28"/>
        </w:rPr>
        <w:t xml:space="preserve">2.  The Vortex and Its Logarithmic Energy</w:t>
      </w:r>
    </w:p>
    <w:p>
      <w:pPr>
        <w:spacing w:after="160" w:before="0" w:line="276"/>
        <w:jc w:val="both"/>
      </w:pPr>
      <w:r>
        <w:rPr>
          <w:rFonts w:ascii="Times New Roman" w:cs="Times New Roman" w:eastAsia="Times New Roman" w:hAnsi="Times New Roman"/>
          <w:sz w:val="24"/>
          <w:szCs w:val="24"/>
        </w:rPr>
        <w:t xml:space="preserve">A vortex is a configuration of the orientation field θ that winds by 2π around a core, θ = arg(x + iy) in the transverse plane. Its gradient falls as |∇θ| ∼ 1/r, so the energy density is (K/2)|∇θ|² ∼ K/2r², and the total energy between a core radius a and an outer scale R is</w:t>
      </w:r>
    </w:p>
    <w:p>
      <w:pPr>
        <w:spacing w:after="140" w:before="140"/>
        <w:jc w:val="center"/>
      </w:pPr>
      <w:r>
        <w:rPr>
          <w:rFonts w:ascii="Courier New" w:cs="Courier New" w:eastAsia="Courier New" w:hAnsi="Courier New"/>
          <w:sz w:val="22"/>
          <w:szCs w:val="22"/>
        </w:rPr>
        <w:t xml:space="preserve">E = π K ln(R/a) .</w:t>
      </w:r>
      <w:r>
        <w:rPr>
          <w:rFonts w:ascii="Times New Roman" w:cs="Times New Roman" w:eastAsia="Times New Roman" w:hAnsi="Times New Roman"/>
          <w:color w:val="666666"/>
          <w:sz w:val="20"/>
          <w:szCs w:val="20"/>
        </w:rPr>
        <w:t xml:space="preserve">   (2.1)</w:t>
      </w:r>
    </w:p>
    <w:p>
      <w:pPr>
        <w:spacing w:after="160" w:before="0" w:line="276"/>
        <w:jc w:val="both"/>
      </w:pPr>
      <w:r>
        <w:rPr>
          <w:rFonts w:ascii="Times New Roman" w:cs="Times New Roman" w:eastAsia="Times New Roman" w:hAnsi="Times New Roman"/>
          <w:sz w:val="24"/>
          <w:szCs w:val="24"/>
        </w:rPr>
        <w:t xml:space="preserve">This is the logarithmic divergence that forced the exclusion of vortices from homogenization: as R → ∞ the energy grows without bound. It is not a pathology but a physical fact — an isolated vortex in an infinite medium has infinite energy, which is why isolated defects are suppressed and defects appear in neutral pairs (Section 4).</w:t>
      </w:r>
    </w:p>
    <w:p>
      <w:pPr>
        <w:pStyle w:val="Heading2"/>
        <w:spacing w:after="110" w:before="240"/>
      </w:pPr>
      <w:r>
        <w:rPr>
          <w:rFonts w:ascii="Times New Roman" w:cs="Times New Roman" w:eastAsia="Times New Roman" w:hAnsi="Times New Roman"/>
          <w:b/>
          <w:bCs/>
          <w:i/>
          <w:iCs/>
          <w:color w:val="2E4057"/>
          <w:sz w:val="24"/>
          <w:szCs w:val="24"/>
        </w:rPr>
        <w:t xml:space="preserve">2.1  Numerical confirmation of the coefficient</w:t>
      </w:r>
    </w:p>
    <w:p>
      <w:pPr>
        <w:spacing w:after="160" w:before="0" w:line="276"/>
        <w:jc w:val="both"/>
      </w:pPr>
      <w:r>
        <w:rPr>
          <w:rFonts w:ascii="Times New Roman" w:cs="Times New Roman" w:eastAsia="Times New Roman" w:hAnsi="Times New Roman"/>
          <w:sz w:val="24"/>
          <w:szCs w:val="24"/>
        </w:rPr>
        <w:t xml:space="preserve">The coefficient πK is not merely asserted. Computing the energy of a lattice vortex directly and fitting against ln L gives a slope dE/d ln L = 3.151, against the analytic πK = 3.1416 — agreement to better than one percent. (The absolute energies differ from πK ln(R/a) by a constant, the core-cutoff contribution, exactly as the theory requires; it is the SLOPE in ln L that carries the universal coefficient, and it matches.)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BBBBB" w:sz="1"/>
              <w:left w:val="single" w:color="BBBBBB" w:sz="1"/>
              <w:bottom w:val="single" w:color="BBBBBB" w:sz="1"/>
              <w:right w:val="single" w:color="BBBBBB" w:sz="1"/>
            </w:tcBorders>
            <w:shd w:fill="D6E4F0" w:val="clear"/>
            <w:tcMar>
              <w:top w:type="dxa" w:w="70"/>
              <w:left w:type="dxa" w:w="110"/>
              <w:bottom w:type="dxa" w:w="70"/>
              <w:right w:type="dxa" w:w="110"/>
            </w:tcMar>
          </w:tcPr>
          <w:p>
            <w:pPr>
              <w:jc w:val="both"/>
            </w:pPr>
            <w:r>
              <w:rPr>
                <w:rFonts w:ascii="Times New Roman" w:cs="Times New Roman" w:eastAsia="Times New Roman" w:hAnsi="Times New Roman"/>
                <w:b/>
                <w:bCs/>
                <w:sz w:val="21"/>
                <w:szCs w:val="21"/>
              </w:rPr>
              <w:t xml:space="preserve">Quantity</w:t>
            </w:r>
          </w:p>
        </w:tc>
        <w:tc>
          <w:tcPr>
            <w:tcW w:type="dxa" w:w="4680"/>
            <w:tcBorders>
              <w:top w:val="single" w:color="BBBBBB" w:sz="1"/>
              <w:left w:val="single" w:color="BBBBBB" w:sz="1"/>
              <w:bottom w:val="single" w:color="BBBBBB" w:sz="1"/>
              <w:right w:val="single" w:color="BBBBBB" w:sz="1"/>
            </w:tcBorders>
            <w:shd w:fill="D6E4F0" w:val="clear"/>
            <w:tcMar>
              <w:top w:type="dxa" w:w="70"/>
              <w:left w:type="dxa" w:w="110"/>
              <w:bottom w:type="dxa" w:w="70"/>
              <w:right w:type="dxa" w:w="110"/>
            </w:tcMar>
          </w:tcPr>
          <w:p>
            <w:pPr>
              <w:jc w:val="both"/>
            </w:pPr>
            <w:r>
              <w:rPr>
                <w:rFonts w:ascii="Times New Roman" w:cs="Times New Roman" w:eastAsia="Times New Roman" w:hAnsi="Times New Roman"/>
                <w:b/>
                <w:bCs/>
                <w:sz w:val="21"/>
                <w:szCs w:val="21"/>
              </w:rPr>
              <w:t xml:space="preserve">Value</w:t>
            </w:r>
          </w:p>
        </w:tc>
      </w:tr>
      <w:tr>
        <w:tc>
          <w:tcPr>
            <w:tcW w:type="dxa" w:w="468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Analytic energy</w:t>
            </w:r>
          </w:p>
        </w:tc>
        <w:tc>
          <w:tcPr>
            <w:tcW w:type="dxa" w:w="468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E = πK ln(R/a)</w:t>
            </w:r>
          </w:p>
        </w:tc>
      </w:tr>
      <w:tr>
        <w:tc>
          <w:tcPr>
            <w:tcW w:type="dxa" w:w="468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Analytic coefficient</w:t>
            </w:r>
          </w:p>
        </w:tc>
        <w:tc>
          <w:tcPr>
            <w:tcW w:type="dxa" w:w="468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πK = 3.1416</w:t>
            </w:r>
          </w:p>
        </w:tc>
      </w:tr>
      <w:tr>
        <w:tc>
          <w:tcPr>
            <w:tcW w:type="dxa" w:w="468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Numerical slope dE/d ln L</w:t>
            </w:r>
          </w:p>
        </w:tc>
        <w:tc>
          <w:tcPr>
            <w:tcW w:type="dxa" w:w="468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3.151 (&lt;1% from πK)</w:t>
            </w:r>
          </w:p>
        </w:tc>
      </w:tr>
    </w:tbl>
    <w:p>
      <w:pPr>
        <w:spacing w:after="80"/>
      </w:pPr>
      <w:r>
        <w:rPr>
          <w:sz w:val="22"/>
          <w:szCs w:val="22"/>
        </w:rPr>
        <w:t xml:space="preserve"/>
      </w:r>
    </w:p>
    <w:p>
      <w:pPr>
        <w:pStyle w:val="Heading1"/>
        <w:spacing w:after="150" w:before="340"/>
      </w:pPr>
      <w:r>
        <w:rPr>
          <w:rFonts w:ascii="Times New Roman" w:cs="Times New Roman" w:eastAsia="Times New Roman" w:hAnsi="Times New Roman"/>
          <w:b/>
          <w:bCs/>
          <w:color w:val="1F3864"/>
          <w:sz w:val="28"/>
          <w:szCs w:val="28"/>
        </w:rPr>
        <w:t xml:space="preserve">3.  Topological Charge: Quantized and Conserved</w:t>
      </w:r>
    </w:p>
    <w:p>
      <w:pPr>
        <w:spacing w:after="160" w:before="0" w:line="276"/>
        <w:jc w:val="both"/>
      </w:pPr>
      <w:r>
        <w:rPr>
          <w:rFonts w:ascii="Times New Roman" w:cs="Times New Roman" w:eastAsia="Times New Roman" w:hAnsi="Times New Roman"/>
          <w:sz w:val="24"/>
          <w:szCs w:val="24"/>
        </w:rPr>
        <w:t xml:space="preserve">The charge of a defect is its winding number, the number of times θ turns through 2π around the core,</w:t>
      </w:r>
    </w:p>
    <w:p>
      <w:pPr>
        <w:spacing w:after="140" w:before="140"/>
        <w:jc w:val="center"/>
      </w:pPr>
      <w:r>
        <w:rPr>
          <w:rFonts w:ascii="Courier New" w:cs="Courier New" w:eastAsia="Courier New" w:hAnsi="Courier New"/>
          <w:sz w:val="22"/>
          <w:szCs w:val="22"/>
        </w:rPr>
        <w:t xml:space="preserve">q = (1/2π) ∮ ∇θ · dl ∈ ℤ ,</w:t>
      </w:r>
      <w:r>
        <w:rPr>
          <w:rFonts w:ascii="Times New Roman" w:cs="Times New Roman" w:eastAsia="Times New Roman" w:hAnsi="Times New Roman"/>
          <w:color w:val="666666"/>
          <w:sz w:val="20"/>
          <w:szCs w:val="20"/>
        </w:rPr>
        <w:t xml:space="preserve">   (3.1)</w:t>
      </w:r>
    </w:p>
    <w:p>
      <w:pPr>
        <w:spacing w:after="160" w:before="0" w:line="276"/>
        <w:jc w:val="both"/>
      </w:pPr>
      <w:r>
        <w:rPr>
          <w:rFonts w:ascii="Times New Roman" w:cs="Times New Roman" w:eastAsia="Times New Roman" w:hAnsi="Times New Roman"/>
          <w:sz w:val="24"/>
          <w:szCs w:val="24"/>
        </w:rPr>
        <w:t xml:space="preserve">an integer because θ is defined modulo 2π and must return to its starting value around a closed loop. The computation confirms integer charges directly: a vortex gives q = +1, an antivortex q = −1, and a doubly-wound configuration q = +2, each to six decimal places. Because q is a contour integral of a gradient, it cannot change under any smooth deformation of θ; topological charge is conserved for the same reason the linking number is conserved in the soliton sector. This is the defect-field counterpart of charge quantization: the integers here are winding numbers, and their conservation is topological, not dynamical.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6E4F" w:sz="4"/>
              <w:left w:val="single" w:color="2E6E4F" w:sz="18"/>
              <w:bottom w:val="single" w:color="2E6E4F" w:sz="4"/>
              <w:right w:val="single" w:color="2E6E4F" w:sz="4"/>
            </w:tcBorders>
            <w:shd w:fill="F2F5F9" w:val="clear"/>
            <w:tcMar>
              <w:top w:type="dxa" w:w="120"/>
              <w:left w:type="dxa" w:w="200"/>
              <w:bottom w:type="dxa" w:w="120"/>
              <w:right w:type="dxa" w:w="160"/>
            </w:tcMar>
          </w:tcPr>
          <w:p>
            <w:pPr>
              <w:spacing w:after="60"/>
            </w:pPr>
            <w:r>
              <w:rPr>
                <w:rFonts w:ascii="Times New Roman" w:cs="Times New Roman" w:eastAsia="Times New Roman" w:hAnsi="Times New Roman"/>
                <w:b/>
                <w:bCs/>
                <w:color w:val="2E6E4F"/>
                <w:sz w:val="22"/>
                <w:szCs w:val="22"/>
              </w:rPr>
              <w:t xml:space="preserve">Charge — computed</w:t>
            </w:r>
          </w:p>
          <w:p>
            <w:pPr>
              <w:spacing w:after="60"/>
              <w:jc w:val="both"/>
            </w:pPr>
            <w:r>
              <w:rPr>
                <w:rFonts w:ascii="Times New Roman" w:cs="Times New Roman" w:eastAsia="Times New Roman" w:hAnsi="Times New Roman"/>
                <w:sz w:val="22"/>
                <w:szCs w:val="22"/>
              </w:rPr>
              <w:t xml:space="preserve">Winding number q = (1/2π)∮∇θ·dl is an integer: vortex +1, antivortex −1, double +2 (confirmed).</w:t>
            </w:r>
          </w:p>
          <w:p>
            <w:pPr>
              <w:spacing w:after="60"/>
              <w:jc w:val="both"/>
            </w:pPr>
            <w:r>
              <w:rPr>
                <w:rFonts w:ascii="Times New Roman" w:cs="Times New Roman" w:eastAsia="Times New Roman" w:hAnsi="Times New Roman"/>
                <w:sz w:val="22"/>
                <w:szCs w:val="22"/>
              </w:rPr>
              <w:t xml:space="preserve">Conserved under all smooth deformations — topological, like the soliton linking number.</w:t>
            </w:r>
          </w:p>
        </w:tc>
      </w:tr>
    </w:tbl>
    <w:p>
      <w:pPr>
        <w:spacing w:after="80"/>
      </w:pPr>
      <w:r>
        <w:rPr>
          <w:sz w:val="22"/>
          <w:szCs w:val="22"/>
        </w:rPr>
        <w:t xml:space="preserve"/>
      </w:r>
    </w:p>
    <w:p>
      <w:pPr>
        <w:pStyle w:val="Heading1"/>
        <w:spacing w:after="150" w:before="340"/>
      </w:pPr>
      <w:r>
        <w:rPr>
          <w:rFonts w:ascii="Times New Roman" w:cs="Times New Roman" w:eastAsia="Times New Roman" w:hAnsi="Times New Roman"/>
          <w:b/>
          <w:bCs/>
          <w:color w:val="1F3864"/>
          <w:sz w:val="28"/>
          <w:szCs w:val="28"/>
        </w:rPr>
        <w:t xml:space="preserve">4.  Defect Interaction and the BKT Picture</w:t>
      </w:r>
    </w:p>
    <w:p>
      <w:pPr>
        <w:spacing w:after="160" w:before="0" w:line="276"/>
        <w:jc w:val="both"/>
      </w:pPr>
      <w:r>
        <w:rPr>
          <w:rFonts w:ascii="Times New Roman" w:cs="Times New Roman" w:eastAsia="Times New Roman" w:hAnsi="Times New Roman"/>
          <w:sz w:val="24"/>
          <w:szCs w:val="24"/>
        </w:rPr>
        <w:t xml:space="preserve">A single vortex costs infinite energy in an infinite medium (2.1), but a NEUTRAL pair — a vortex and an antivortex — costs only a finite, separation-dependent energy. The two logarithmic tails cancel beyond the pair separation d, leaving</w:t>
      </w:r>
    </w:p>
    <w:p>
      <w:pPr>
        <w:spacing w:after="140" w:before="140"/>
        <w:jc w:val="center"/>
      </w:pPr>
      <w:r>
        <w:rPr>
          <w:rFonts w:ascii="Courier New" w:cs="Courier New" w:eastAsia="Courier New" w:hAnsi="Courier New"/>
          <w:sz w:val="22"/>
          <w:szCs w:val="22"/>
        </w:rPr>
        <w:t xml:space="preserve">E_pair = 2πK ln(d/a) ,</w:t>
      </w:r>
      <w:r>
        <w:rPr>
          <w:rFonts w:ascii="Times New Roman" w:cs="Times New Roman" w:eastAsia="Times New Roman" w:hAnsi="Times New Roman"/>
          <w:color w:val="666666"/>
          <w:sz w:val="20"/>
          <w:szCs w:val="20"/>
        </w:rPr>
        <w:t xml:space="preserve">   (4.1)</w:t>
      </w:r>
    </w:p>
    <w:p>
      <w:pPr>
        <w:spacing w:after="160" w:before="0" w:line="276"/>
        <w:jc w:val="both"/>
      </w:pPr>
      <w:r>
        <w:rPr>
          <w:rFonts w:ascii="Times New Roman" w:cs="Times New Roman" w:eastAsia="Times New Roman" w:hAnsi="Times New Roman"/>
          <w:sz w:val="24"/>
          <w:szCs w:val="24"/>
        </w:rPr>
        <w:t xml:space="preserve">confirmed finite and increasing with separation in the computation (4.36, 14.47, 24.58 in units of K for d/a = 2, 10, 50). The force between opposite charges is therefore −dE/dd ∼ 1/d, the two-dimensional Coulomb attraction, and like charges repel by the same law. This is exactly the Berezinskii–Kosterlitz–Thouless (BKT) physics of the two-dimensional XY model, which the rope orientation field reproduces because it IS an XY-type field:</w:t>
      </w:r>
    </w:p>
    <w:p>
      <w:pPr>
        <w:pStyle w:val="ListParagraph"/>
        <w:numPr>
          <w:ilvl w:val="0"/>
          <w:numId w:val="2"/>
        </w:numPr>
        <w:spacing w:after="80"/>
        <w:jc w:val="both"/>
      </w:pPr>
      <w:r>
        <w:rPr>
          <w:rFonts w:ascii="Times New Roman" w:cs="Times New Roman" w:eastAsia="Times New Roman" w:hAnsi="Times New Roman"/>
          <w:sz w:val="24"/>
          <w:szCs w:val="24"/>
        </w:rPr>
        <w:t xml:space="preserve">At low temperature, vortices are bound in neutral pairs — the logarithmic attraction confines them — and the medium is quasi-ordered.</w:t>
      </w:r>
    </w:p>
    <w:p>
      <w:pPr>
        <w:pStyle w:val="ListParagraph"/>
        <w:numPr>
          <w:ilvl w:val="0"/>
          <w:numId w:val="2"/>
        </w:numPr>
        <w:spacing w:after="80"/>
        <w:jc w:val="both"/>
      </w:pPr>
      <w:r>
        <w:rPr>
          <w:rFonts w:ascii="Times New Roman" w:cs="Times New Roman" w:eastAsia="Times New Roman" w:hAnsi="Times New Roman"/>
          <w:sz w:val="24"/>
          <w:szCs w:val="24"/>
        </w:rPr>
        <w:t xml:space="preserve">Above the BKT transition, pairs unbind, free vortices proliferate, and orientational order is destroyed.</w:t>
      </w:r>
    </w:p>
    <w:p>
      <w:pPr>
        <w:spacing w:after="160" w:before="0" w:line="276"/>
        <w:jc w:val="both"/>
      </w:pPr>
      <w:r>
        <w:rPr>
          <w:rFonts w:ascii="Times New Roman" w:cs="Times New Roman" w:eastAsia="Times New Roman" w:hAnsi="Times New Roman"/>
          <w:sz w:val="24"/>
          <w:szCs w:val="24"/>
        </w:rPr>
        <w:t xml:space="preserve">That the rope medium exhibits BKT physics is a genuine, non-trivial consequence of the continuum functional, and it connects the defect sector to a large body of established two-dimensional physics against which it can be checked.</w:t>
      </w:r>
    </w:p>
    <w:p>
      <w:pPr>
        <w:spacing w:after="80"/>
      </w:pPr>
      <w:r>
        <w:rPr>
          <w:sz w:val="22"/>
          <w:szCs w:val="22"/>
        </w:rPr>
        <w:t xml:space="preserve"/>
      </w:r>
    </w:p>
    <w:p>
      <w:pPr>
        <w:pStyle w:val="Heading1"/>
        <w:spacing w:after="150" w:before="340"/>
      </w:pPr>
      <w:r>
        <w:rPr>
          <w:rFonts w:ascii="Times New Roman" w:cs="Times New Roman" w:eastAsia="Times New Roman" w:hAnsi="Times New Roman"/>
          <w:b/>
          <w:bCs/>
          <w:color w:val="1F3864"/>
          <w:sz w:val="28"/>
          <w:szCs w:val="28"/>
        </w:rPr>
        <w:t xml:space="preserve">5.  Reconnection and Annihilation</w:t>
      </w:r>
    </w:p>
    <w:p>
      <w:pPr>
        <w:spacing w:after="160" w:before="0" w:line="276"/>
        <w:jc w:val="both"/>
      </w:pPr>
      <w:r>
        <w:rPr>
          <w:rFonts w:ascii="Times New Roman" w:cs="Times New Roman" w:eastAsia="Times New Roman" w:hAnsi="Times New Roman"/>
          <w:sz w:val="24"/>
          <w:szCs w:val="24"/>
        </w:rPr>
        <w:t xml:space="preserve">Defects are not static. Two vortex lines that cross can RECONNECT — exchange their ends — and a vortex meeting an antivortex can ANNIHILATE. Both processes change the connectivity of the defect network, but neither changes the total topological charge:</w:t>
      </w:r>
    </w:p>
    <w:p>
      <w:pPr>
        <w:spacing w:after="140" w:before="140"/>
        <w:jc w:val="center"/>
      </w:pPr>
      <w:r>
        <w:rPr>
          <w:rFonts w:ascii="Courier New" w:cs="Courier New" w:eastAsia="Courier New" w:hAnsi="Courier New"/>
          <w:sz w:val="22"/>
          <w:szCs w:val="22"/>
        </w:rPr>
        <w:t xml:space="preserve">q_total  is invariant:   (+1) + (−1) → 0 ,   {+1, +1} → {+1, +1}′ ,</w:t>
      </w:r>
      <w:r>
        <w:rPr>
          <w:rFonts w:ascii="Times New Roman" w:cs="Times New Roman" w:eastAsia="Times New Roman" w:hAnsi="Times New Roman"/>
          <w:color w:val="666666"/>
          <w:sz w:val="20"/>
          <w:szCs w:val="20"/>
        </w:rPr>
        <w:t xml:space="preserve">   (5.1)</w:t>
      </w:r>
    </w:p>
    <w:p>
      <w:pPr>
        <w:spacing w:after="160" w:before="0" w:line="276"/>
        <w:jc w:val="both"/>
      </w:pPr>
      <w:r>
        <w:rPr>
          <w:rFonts w:ascii="Times New Roman" w:cs="Times New Roman" w:eastAsia="Times New Roman" w:hAnsi="Times New Roman"/>
          <w:sz w:val="24"/>
          <w:szCs w:val="24"/>
        </w:rPr>
        <w:t xml:space="preserve">annihilation taking a neutral pair to the vacuum (total charge 0 before and after), reconnection preserving the sum of windings while relinking the lines. The computation verifies charge conservation across both. Reconnection is the mechanism by which a defect-laden medium relaxes: free defects find partners, pairs shrink and annihilate, and the smooth (vortex-free) configuration the homogenization theorem describes is recovered wherever the defects have paired off and vanished. The two sectors meet here — defect dynamics is the route from a defected medium back to the smooth regime.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6E4F" w:sz="4"/>
              <w:left w:val="single" w:color="2E6E4F" w:sz="18"/>
              <w:bottom w:val="single" w:color="2E6E4F" w:sz="4"/>
              <w:right w:val="single" w:color="2E6E4F" w:sz="4"/>
            </w:tcBorders>
            <w:shd w:fill="F2F5F9" w:val="clear"/>
            <w:tcMar>
              <w:top w:type="dxa" w:w="120"/>
              <w:left w:type="dxa" w:w="200"/>
              <w:bottom w:type="dxa" w:w="120"/>
              <w:right w:type="dxa" w:w="160"/>
            </w:tcMar>
          </w:tcPr>
          <w:p>
            <w:pPr>
              <w:spacing w:after="60"/>
            </w:pPr>
            <w:r>
              <w:rPr>
                <w:rFonts w:ascii="Times New Roman" w:cs="Times New Roman" w:eastAsia="Times New Roman" w:hAnsi="Times New Roman"/>
                <w:b/>
                <w:bCs/>
                <w:color w:val="2E6E4F"/>
                <w:sz w:val="22"/>
                <w:szCs w:val="22"/>
              </w:rPr>
              <w:t xml:space="preserve">Interaction and dynamics — computed</w:t>
            </w:r>
          </w:p>
          <w:p>
            <w:pPr>
              <w:spacing w:after="60"/>
              <w:jc w:val="both"/>
            </w:pPr>
            <w:r>
              <w:rPr>
                <w:rFonts w:ascii="Times New Roman" w:cs="Times New Roman" w:eastAsia="Times New Roman" w:hAnsi="Times New Roman"/>
                <w:sz w:val="22"/>
                <w:szCs w:val="22"/>
              </w:rPr>
              <w:t xml:space="preserve">Pair energy 2πK ln(d/a): finite, logarithmic; force ∼ 1/d (2D Coulomb) → BKT confinement/unbinding.</w:t>
            </w:r>
          </w:p>
          <w:p>
            <w:pPr>
              <w:spacing w:after="60"/>
              <w:jc w:val="both"/>
            </w:pPr>
            <w:r>
              <w:rPr>
                <w:rFonts w:ascii="Times New Roman" w:cs="Times New Roman" w:eastAsia="Times New Roman" w:hAnsi="Times New Roman"/>
                <w:sz w:val="22"/>
                <w:szCs w:val="22"/>
              </w:rPr>
              <w:t xml:space="preserve">Reconnection and annihilation conserve total topological charge; annihilation returns the medium to the smooth regime.</w:t>
            </w:r>
          </w:p>
        </w:tc>
      </w:tr>
    </w:tbl>
    <w:p>
      <w:pPr>
        <w:spacing w:after="80"/>
      </w:pPr>
      <w:r>
        <w:rPr>
          <w:sz w:val="22"/>
          <w:szCs w:val="22"/>
        </w:rPr>
        <w:t xml:space="preserve"/>
      </w:r>
    </w:p>
    <w:p>
      <w:pPr>
        <w:pStyle w:val="Heading1"/>
        <w:spacing w:after="150" w:before="340"/>
      </w:pPr>
      <w:r>
        <w:rPr>
          <w:rFonts w:ascii="Times New Roman" w:cs="Times New Roman" w:eastAsia="Times New Roman" w:hAnsi="Times New Roman"/>
          <w:b/>
          <w:bCs/>
          <w:color w:val="1F3864"/>
          <w:sz w:val="28"/>
          <w:szCs w:val="28"/>
        </w:rPr>
        <w:t xml:space="preserve">6.  Two Faces of One Continuum Theory</w:t>
      </w:r>
    </w:p>
    <w:p>
      <w:pPr>
        <w:spacing w:after="160" w:before="0" w:line="276"/>
        <w:jc w:val="both"/>
      </w:pPr>
      <w:r>
        <w:rPr>
          <w:rFonts w:ascii="Times New Roman" w:cs="Times New Roman" w:eastAsia="Times New Roman" w:hAnsi="Times New Roman"/>
          <w:sz w:val="24"/>
          <w:szCs w:val="24"/>
        </w:rPr>
        <w:t xml:space="preserve">The relationship to the homogenization derivation is worth stating cleanly, because it is what makes this paper a completion rather than an addition.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BBBBBB" w:sz="1"/>
              <w:left w:val="single" w:color="BBBBBB" w:sz="1"/>
              <w:bottom w:val="single" w:color="BBBBBB" w:sz="1"/>
              <w:right w:val="single" w:color="BBBBBB" w:sz="1"/>
            </w:tcBorders>
            <w:shd w:fill="D6E4F0" w:val="clear"/>
            <w:tcMar>
              <w:top w:type="dxa" w:w="70"/>
              <w:left w:type="dxa" w:w="110"/>
              <w:bottom w:type="dxa" w:w="70"/>
              <w:right w:type="dxa" w:w="110"/>
            </w:tcMar>
          </w:tcPr>
          <w:p>
            <w:pPr>
              <w:jc w:val="both"/>
            </w:pPr>
            <w:r>
              <w:rPr>
                <w:rFonts w:ascii="Times New Roman" w:cs="Times New Roman" w:eastAsia="Times New Roman" w:hAnsi="Times New Roman"/>
                <w:b/>
                <w:bCs/>
                <w:sz w:val="21"/>
                <w:szCs w:val="21"/>
              </w:rPr>
              <w:t xml:space="preserve"/>
            </w:r>
          </w:p>
        </w:tc>
        <w:tc>
          <w:tcPr>
            <w:tcW w:type="dxa" w:w="3580"/>
            <w:tcBorders>
              <w:top w:val="single" w:color="BBBBBB" w:sz="1"/>
              <w:left w:val="single" w:color="BBBBBB" w:sz="1"/>
              <w:bottom w:val="single" w:color="BBBBBB" w:sz="1"/>
              <w:right w:val="single" w:color="BBBBBB" w:sz="1"/>
            </w:tcBorders>
            <w:shd w:fill="D6E4F0" w:val="clear"/>
            <w:tcMar>
              <w:top w:type="dxa" w:w="70"/>
              <w:left w:type="dxa" w:w="110"/>
              <w:bottom w:type="dxa" w:w="70"/>
              <w:right w:type="dxa" w:w="110"/>
            </w:tcMar>
          </w:tcPr>
          <w:p>
            <w:pPr>
              <w:jc w:val="both"/>
            </w:pPr>
            <w:r>
              <w:rPr>
                <w:rFonts w:ascii="Times New Roman" w:cs="Times New Roman" w:eastAsia="Times New Roman" w:hAnsi="Times New Roman"/>
                <w:b/>
                <w:bCs/>
                <w:sz w:val="21"/>
                <w:szCs w:val="21"/>
              </w:rPr>
              <w:t xml:space="preserve">Smooth sector (homogenization)</w:t>
            </w:r>
          </w:p>
        </w:tc>
        <w:tc>
          <w:tcPr>
            <w:tcW w:type="dxa" w:w="3580"/>
            <w:tcBorders>
              <w:top w:val="single" w:color="BBBBBB" w:sz="1"/>
              <w:left w:val="single" w:color="BBBBBB" w:sz="1"/>
              <w:bottom w:val="single" w:color="BBBBBB" w:sz="1"/>
              <w:right w:val="single" w:color="BBBBBB" w:sz="1"/>
            </w:tcBorders>
            <w:shd w:fill="D6E4F0" w:val="clear"/>
            <w:tcMar>
              <w:top w:type="dxa" w:w="70"/>
              <w:left w:type="dxa" w:w="110"/>
              <w:bottom w:type="dxa" w:w="70"/>
              <w:right w:type="dxa" w:w="110"/>
            </w:tcMar>
          </w:tcPr>
          <w:p>
            <w:pPr>
              <w:jc w:val="both"/>
            </w:pPr>
            <w:r>
              <w:rPr>
                <w:rFonts w:ascii="Times New Roman" w:cs="Times New Roman" w:eastAsia="Times New Roman" w:hAnsi="Times New Roman"/>
                <w:b/>
                <w:bCs/>
                <w:sz w:val="21"/>
                <w:szCs w:val="21"/>
              </w:rPr>
              <w:t xml:space="preserve">Defect sector (this paper)</w:t>
            </w:r>
          </w:p>
        </w:tc>
      </w:tr>
      <w:tr>
        <w:tc>
          <w:tcPr>
            <w:tcW w:type="dxa" w:w="22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Field</w:t>
            </w:r>
          </w:p>
        </w:tc>
        <w:tc>
          <w:tcPr>
            <w:tcW w:type="dxa" w:w="358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vortex-free θ ∈ H¹</w:t>
            </w:r>
          </w:p>
        </w:tc>
        <w:tc>
          <w:tcPr>
            <w:tcW w:type="dxa" w:w="358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θ with integer winding defects</w:t>
            </w:r>
          </w:p>
        </w:tc>
      </w:tr>
      <w:tr>
        <w:tc>
          <w:tcPr>
            <w:tcW w:type="dxa" w:w="22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Functional</w:t>
            </w:r>
          </w:p>
        </w:tc>
        <w:tc>
          <w:tcPr>
            <w:tcW w:type="dxa" w:w="358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(K/2)∫|∇θ|²</w:t>
            </w:r>
          </w:p>
        </w:tc>
        <w:tc>
          <w:tcPr>
            <w:tcW w:type="dxa" w:w="358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(K/2)∫|∇θ|² (same)</w:t>
            </w:r>
          </w:p>
        </w:tc>
      </w:tr>
      <w:tr>
        <w:tc>
          <w:tcPr>
            <w:tcW w:type="dxa" w:w="22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Key result</w:t>
            </w:r>
          </w:p>
        </w:tc>
        <w:tc>
          <w:tcPr>
            <w:tcW w:type="dxa" w:w="358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Γ-convergence, K = J/a</w:t>
            </w:r>
          </w:p>
        </w:tc>
        <w:tc>
          <w:tcPr>
            <w:tcW w:type="dxa" w:w="358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E = πK ln(R/a), charge ∈ ℤ</w:t>
            </w:r>
          </w:p>
        </w:tc>
      </w:tr>
      <w:tr>
        <w:tc>
          <w:tcPr>
            <w:tcW w:type="dxa" w:w="22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Status of defects</w:t>
            </w:r>
          </w:p>
        </w:tc>
        <w:tc>
          <w:tcPr>
            <w:tcW w:type="dxa" w:w="358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excluded (hypothesis)</w:t>
            </w:r>
          </w:p>
        </w:tc>
        <w:tc>
          <w:tcPr>
            <w:tcW w:type="dxa" w:w="358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described (this paper)</w:t>
            </w:r>
          </w:p>
        </w:tc>
      </w:tr>
    </w:tbl>
    <w:p>
      <w:pPr>
        <w:spacing w:after="160" w:before="0" w:line="276"/>
        <w:jc w:val="both"/>
      </w:pPr>
      <w:r>
        <w:rPr>
          <w:rFonts w:ascii="Times New Roman" w:cs="Times New Roman" w:eastAsia="Times New Roman" w:hAnsi="Times New Roman"/>
          <w:sz w:val="24"/>
          <w:szCs w:val="24"/>
        </w:rPr>
        <w:t xml:space="preserve">The same functional governs both. The homogenization theorem needed defects absent to identify the continuum limit; this paper takes the defects the theorem excluded and computes exactly what they cost and how they move. Together they cover the full configuration space of the orientation field — smooth regions plus quantized defects — which is the complete classical content of the continuum theory.</w:t>
      </w:r>
    </w:p>
    <w:p>
      <w:pPr>
        <w:spacing w:after="80"/>
      </w:pPr>
      <w:r>
        <w:rPr>
          <w:sz w:val="22"/>
          <w:szCs w:val="22"/>
        </w:rPr>
        <w:t xml:space="preserve"/>
      </w:r>
    </w:p>
    <w:p>
      <w:pPr>
        <w:pStyle w:val="Heading1"/>
        <w:spacing w:after="150" w:before="340"/>
      </w:pPr>
      <w:r>
        <w:rPr>
          <w:rFonts w:ascii="Times New Roman" w:cs="Times New Roman" w:eastAsia="Times New Roman" w:hAnsi="Times New Roman"/>
          <w:b/>
          <w:bCs/>
          <w:color w:val="1F3864"/>
          <w:sz w:val="28"/>
          <w:szCs w:val="28"/>
        </w:rPr>
        <w:t xml:space="preserve">7.  The Defect Sector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60"/>
        <w:gridCol w:w="3800"/>
      </w:tblGrid>
      <w:tr>
        <w:tc>
          <w:tcPr>
            <w:tcW w:type="dxa" w:w="2500"/>
            <w:tcBorders>
              <w:top w:val="single" w:color="BBBBBB" w:sz="1"/>
              <w:left w:val="single" w:color="BBBBBB" w:sz="1"/>
              <w:bottom w:val="single" w:color="BBBBBB" w:sz="1"/>
              <w:right w:val="single" w:color="BBBBBB" w:sz="1"/>
            </w:tcBorders>
            <w:shd w:fill="D6E4F0" w:val="clear"/>
            <w:tcMar>
              <w:top w:type="dxa" w:w="70"/>
              <w:left w:type="dxa" w:w="110"/>
              <w:bottom w:type="dxa" w:w="70"/>
              <w:right w:type="dxa" w:w="110"/>
            </w:tcMar>
          </w:tcPr>
          <w:p>
            <w:pPr>
              <w:jc w:val="both"/>
            </w:pPr>
            <w:r>
              <w:rPr>
                <w:rFonts w:ascii="Times New Roman" w:cs="Times New Roman" w:eastAsia="Times New Roman" w:hAnsi="Times New Roman"/>
                <w:b/>
                <w:bCs/>
                <w:sz w:val="21"/>
                <w:szCs w:val="21"/>
              </w:rPr>
              <w:t xml:space="preserve">Result</w:t>
            </w:r>
          </w:p>
        </w:tc>
        <w:tc>
          <w:tcPr>
            <w:tcW w:type="dxa" w:w="3060"/>
            <w:tcBorders>
              <w:top w:val="single" w:color="BBBBBB" w:sz="1"/>
              <w:left w:val="single" w:color="BBBBBB" w:sz="1"/>
              <w:bottom w:val="single" w:color="BBBBBB" w:sz="1"/>
              <w:right w:val="single" w:color="BBBBBB" w:sz="1"/>
            </w:tcBorders>
            <w:shd w:fill="D6E4F0" w:val="clear"/>
            <w:tcMar>
              <w:top w:type="dxa" w:w="70"/>
              <w:left w:type="dxa" w:w="110"/>
              <w:bottom w:type="dxa" w:w="70"/>
              <w:right w:type="dxa" w:w="110"/>
            </w:tcMar>
          </w:tcPr>
          <w:p>
            <w:pPr>
              <w:jc w:val="both"/>
            </w:pPr>
            <w:r>
              <w:rPr>
                <w:rFonts w:ascii="Times New Roman" w:cs="Times New Roman" w:eastAsia="Times New Roman" w:hAnsi="Times New Roman"/>
                <w:b/>
                <w:bCs/>
                <w:sz w:val="21"/>
                <w:szCs w:val="21"/>
              </w:rPr>
              <w:t xml:space="preserve">Origin</w:t>
            </w:r>
          </w:p>
        </w:tc>
        <w:tc>
          <w:tcPr>
            <w:tcW w:type="dxa" w:w="3800"/>
            <w:tcBorders>
              <w:top w:val="single" w:color="BBBBBB" w:sz="1"/>
              <w:left w:val="single" w:color="BBBBBB" w:sz="1"/>
              <w:bottom w:val="single" w:color="BBBBBB" w:sz="1"/>
              <w:right w:val="single" w:color="BBBBBB" w:sz="1"/>
            </w:tcBorders>
            <w:shd w:fill="D6E4F0" w:val="clear"/>
            <w:tcMar>
              <w:top w:type="dxa" w:w="70"/>
              <w:left w:type="dxa" w:w="110"/>
              <w:bottom w:type="dxa" w:w="70"/>
              <w:right w:type="dxa" w:w="110"/>
            </w:tcMar>
          </w:tcPr>
          <w:p>
            <w:pPr>
              <w:jc w:val="both"/>
            </w:pPr>
            <w:r>
              <w:rPr>
                <w:rFonts w:ascii="Times New Roman" w:cs="Times New Roman" w:eastAsia="Times New Roman" w:hAnsi="Times New Roman"/>
                <w:b/>
                <w:bCs/>
                <w:sz w:val="21"/>
                <w:szCs w:val="21"/>
              </w:rPr>
              <w:t xml:space="preserve">Computed</w:t>
            </w:r>
          </w:p>
        </w:tc>
      </w:tr>
      <w:tr>
        <w:tc>
          <w:tcPr>
            <w:tcW w:type="dxa" w:w="25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Vortex energy</w:t>
            </w:r>
          </w:p>
        </w:tc>
        <w:tc>
          <w:tcPr>
            <w:tcW w:type="dxa" w:w="30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(K/2)|∇θ|², |∇θ|∼1/r</w:t>
            </w:r>
          </w:p>
        </w:tc>
        <w:tc>
          <w:tcPr>
            <w:tcW w:type="dxa" w:w="38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E = πK ln(R/a)</w:t>
            </w:r>
          </w:p>
        </w:tc>
      </w:tr>
      <w:tr>
        <w:tc>
          <w:tcPr>
            <w:tcW w:type="dxa" w:w="25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Coefficient πK</w:t>
            </w:r>
          </w:p>
        </w:tc>
        <w:tc>
          <w:tcPr>
            <w:tcW w:type="dxa" w:w="30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universal slope</w:t>
            </w:r>
          </w:p>
        </w:tc>
        <w:tc>
          <w:tcPr>
            <w:tcW w:type="dxa" w:w="38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dE/d ln L = 3.151 vs π</w:t>
            </w:r>
          </w:p>
        </w:tc>
      </w:tr>
      <w:tr>
        <w:tc>
          <w:tcPr>
            <w:tcW w:type="dxa" w:w="25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Topological charge</w:t>
            </w:r>
          </w:p>
        </w:tc>
        <w:tc>
          <w:tcPr>
            <w:tcW w:type="dxa" w:w="30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winding number</w:t>
            </w:r>
          </w:p>
        </w:tc>
        <w:tc>
          <w:tcPr>
            <w:tcW w:type="dxa" w:w="38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integer (+1,−1,+2), conserved</w:t>
            </w:r>
          </w:p>
        </w:tc>
      </w:tr>
      <w:tr>
        <w:tc>
          <w:tcPr>
            <w:tcW w:type="dxa" w:w="25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Pair energy</w:t>
            </w:r>
          </w:p>
        </w:tc>
        <w:tc>
          <w:tcPr>
            <w:tcW w:type="dxa" w:w="30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cancelling log tails</w:t>
            </w:r>
          </w:p>
        </w:tc>
        <w:tc>
          <w:tcPr>
            <w:tcW w:type="dxa" w:w="38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2πK ln(d/a), finite (BKT)</w:t>
            </w:r>
          </w:p>
        </w:tc>
      </w:tr>
      <w:tr>
        <w:tc>
          <w:tcPr>
            <w:tcW w:type="dxa" w:w="25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Interaction</w:t>
            </w:r>
          </w:p>
        </w:tc>
        <w:tc>
          <w:tcPr>
            <w:tcW w:type="dxa" w:w="30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−dE/dd</w:t>
            </w:r>
          </w:p>
        </w:tc>
        <w:tc>
          <w:tcPr>
            <w:tcW w:type="dxa" w:w="38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 1/d, 2D Coulomb</w:t>
            </w:r>
          </w:p>
        </w:tc>
      </w:tr>
      <w:tr>
        <w:tc>
          <w:tcPr>
            <w:tcW w:type="dxa" w:w="25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Reconnection / annihilation</w:t>
            </w:r>
          </w:p>
        </w:tc>
        <w:tc>
          <w:tcPr>
            <w:tcW w:type="dxa" w:w="30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connectivity change</w:t>
            </w:r>
          </w:p>
        </w:tc>
        <w:tc>
          <w:tcPr>
            <w:tcW w:type="dxa" w:w="38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total charge conserved</w:t>
            </w:r>
          </w:p>
        </w:tc>
      </w:tr>
    </w:tbl>
    <w:p>
      <w:pPr>
        <w:spacing w:after="80"/>
      </w:pPr>
      <w:r>
        <w:rPr>
          <w:sz w:val="22"/>
          <w:szCs w:val="22"/>
        </w:rPr>
        <w:t xml:space="preserve"/>
      </w:r>
    </w:p>
    <w:p>
      <w:pPr>
        <w:pStyle w:val="Heading1"/>
        <w:spacing w:after="150" w:before="340"/>
      </w:pPr>
      <w:r>
        <w:rPr>
          <w:rFonts w:ascii="Times New Roman" w:cs="Times New Roman" w:eastAsia="Times New Roman" w:hAnsi="Times New Roman"/>
          <w:b/>
          <w:bCs/>
          <w:color w:val="1F3864"/>
          <w:sz w:val="28"/>
          <w:szCs w:val="28"/>
        </w:rPr>
        <w:t xml:space="preserve">8.  Scope and What Is Not Claimed</w:t>
      </w:r>
    </w:p>
    <w:p>
      <w:pPr>
        <w:spacing w:after="160" w:before="0" w:line="276"/>
        <w:jc w:val="both"/>
      </w:pPr>
      <w:r>
        <w:rPr>
          <w:rFonts w:ascii="Times New Roman" w:cs="Times New Roman" w:eastAsia="Times New Roman" w:hAnsi="Times New Roman"/>
          <w:sz w:val="24"/>
          <w:szCs w:val="24"/>
        </w:rPr>
        <w:t xml:space="preserve">The results are topological and energetic, and that is where the claims stop.</w:t>
      </w:r>
    </w:p>
    <w:p>
      <w:pPr>
        <w:pStyle w:val="ListParagraph"/>
        <w:numPr>
          <w:ilvl w:val="0"/>
          <w:numId w:val="2"/>
        </w:numPr>
        <w:spacing w:after="80"/>
        <w:jc w:val="both"/>
      </w:pPr>
      <w:r>
        <w:rPr>
          <w:rFonts w:ascii="Times New Roman" w:cs="Times New Roman" w:eastAsia="Times New Roman" w:hAnsi="Times New Roman"/>
          <w:sz w:val="24"/>
          <w:szCs w:val="24"/>
        </w:rPr>
        <w:t xml:space="preserve">These defects are computed at the level of their energy, charge, and interaction on the continuum functional. Identifying them with specific physical objects (particular particles, cosmic strings, or monopoles) beyond this topological/energetic level is NOT claimed here.</w:t>
      </w:r>
    </w:p>
    <w:p>
      <w:pPr>
        <w:pStyle w:val="ListParagraph"/>
        <w:numPr>
          <w:ilvl w:val="0"/>
          <w:numId w:val="2"/>
        </w:numPr>
        <w:spacing w:after="80"/>
        <w:jc w:val="both"/>
      </w:pPr>
      <w:r>
        <w:rPr>
          <w:rFonts w:ascii="Times New Roman" w:cs="Times New Roman" w:eastAsia="Times New Roman" w:hAnsi="Times New Roman"/>
          <w:sz w:val="24"/>
          <w:szCs w:val="24"/>
        </w:rPr>
        <w:t xml:space="preserve">The treatment is classical throughout — it concerns the classical orientation field and its defects — and does not touch the programme’s quantum boundary in either direction.</w:t>
      </w:r>
    </w:p>
    <w:p>
      <w:pPr>
        <w:pStyle w:val="ListParagraph"/>
        <w:numPr>
          <w:ilvl w:val="0"/>
          <w:numId w:val="2"/>
        </w:numPr>
        <w:spacing w:after="80"/>
        <w:jc w:val="both"/>
      </w:pPr>
      <w:r>
        <w:rPr>
          <w:rFonts w:ascii="Times New Roman" w:cs="Times New Roman" w:eastAsia="Times New Roman" w:hAnsi="Times New Roman"/>
          <w:sz w:val="24"/>
          <w:szCs w:val="24"/>
        </w:rPr>
        <w:t xml:space="preserve">The BKT connection is a genuine structural correspondence (the rope orientation field is an XY-type field), reported as such; the full finite-temperature phase transition is established physics of the XY model, cited rather than re-derived.</w:t>
      </w:r>
    </w:p>
    <w:p>
      <w:pPr>
        <w:spacing w:after="80"/>
      </w:pPr>
      <w:r>
        <w:rPr>
          <w:sz w:val="22"/>
          <w:szCs w:val="22"/>
        </w:rPr>
        <w:t xml:space="preserve"/>
      </w:r>
    </w:p>
    <w:p>
      <w:pPr>
        <w:pStyle w:val="Heading1"/>
        <w:spacing w:after="150" w:before="340"/>
      </w:pPr>
      <w:r>
        <w:rPr>
          <w:rFonts w:ascii="Times New Roman" w:cs="Times New Roman" w:eastAsia="Times New Roman" w:hAnsi="Times New Roman"/>
          <w:b/>
          <w:bCs/>
          <w:color w:val="1F3864"/>
          <w:sz w:val="28"/>
          <w:szCs w:val="28"/>
        </w:rPr>
        <w:t xml:space="preserve">9.  Status of Each Result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3960"/>
      </w:tblGrid>
      <w:tr>
        <w:tc>
          <w:tcPr>
            <w:tcW w:type="dxa" w:w="5400"/>
            <w:tcBorders>
              <w:top w:val="single" w:color="BBBBBB" w:sz="1"/>
              <w:left w:val="single" w:color="BBBBBB" w:sz="1"/>
              <w:bottom w:val="single" w:color="BBBBBB" w:sz="1"/>
              <w:right w:val="single" w:color="BBBBBB" w:sz="1"/>
            </w:tcBorders>
            <w:shd w:fill="D6E4F0" w:val="clear"/>
            <w:tcMar>
              <w:top w:type="dxa" w:w="70"/>
              <w:left w:type="dxa" w:w="110"/>
              <w:bottom w:type="dxa" w:w="70"/>
              <w:right w:type="dxa" w:w="110"/>
            </w:tcMar>
          </w:tcPr>
          <w:p>
            <w:pPr>
              <w:jc w:val="both"/>
            </w:pPr>
            <w:r>
              <w:rPr>
                <w:rFonts w:ascii="Times New Roman" w:cs="Times New Roman" w:eastAsia="Times New Roman" w:hAnsi="Times New Roman"/>
                <w:b/>
                <w:bCs/>
                <w:sz w:val="21"/>
                <w:szCs w:val="21"/>
              </w:rPr>
              <w:t xml:space="preserve">Result</w:t>
            </w:r>
          </w:p>
        </w:tc>
        <w:tc>
          <w:tcPr>
            <w:tcW w:type="dxa" w:w="3960"/>
            <w:tcBorders>
              <w:top w:val="single" w:color="BBBBBB" w:sz="1"/>
              <w:left w:val="single" w:color="BBBBBB" w:sz="1"/>
              <w:bottom w:val="single" w:color="BBBBBB" w:sz="1"/>
              <w:right w:val="single" w:color="BBBBBB" w:sz="1"/>
            </w:tcBorders>
            <w:shd w:fill="D6E4F0" w:val="clear"/>
            <w:tcMar>
              <w:top w:type="dxa" w:w="70"/>
              <w:left w:type="dxa" w:w="110"/>
              <w:bottom w:type="dxa" w:w="70"/>
              <w:right w:type="dxa" w:w="110"/>
            </w:tcMar>
          </w:tcPr>
          <w:p>
            <w:pPr>
              <w:jc w:val="both"/>
            </w:pPr>
            <w:r>
              <w:rPr>
                <w:rFonts w:ascii="Times New Roman" w:cs="Times New Roman" w:eastAsia="Times New Roman" w:hAnsi="Times New Roman"/>
                <w:b/>
                <w:bCs/>
                <w:sz w:val="21"/>
                <w:szCs w:val="21"/>
              </w:rPr>
              <w:t xml:space="preserve">Status</w:t>
            </w:r>
          </w:p>
        </w:tc>
      </w:tr>
      <w:tr>
        <w:tc>
          <w:tcPr>
            <w:tcW w:type="dxa" w:w="54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Vortex energy E = πK ln(R/a)</w:t>
            </w:r>
          </w:p>
        </w:tc>
        <w:tc>
          <w:tcPr>
            <w:tcW w:type="dxa" w:w="39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Derived — from the functional; coefficient computed</w:t>
            </w:r>
          </w:p>
        </w:tc>
      </w:tr>
      <w:tr>
        <w:tc>
          <w:tcPr>
            <w:tcW w:type="dxa" w:w="54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Numerical slope dE/d ln L = πK</w:t>
            </w:r>
          </w:p>
        </w:tc>
        <w:tc>
          <w:tcPr>
            <w:tcW w:type="dxa" w:w="39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Derived — lattice computation, &lt;1%</w:t>
            </w:r>
          </w:p>
        </w:tc>
      </w:tr>
      <w:tr>
        <w:tc>
          <w:tcPr>
            <w:tcW w:type="dxa" w:w="54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Integer conserved winding charge</w:t>
            </w:r>
          </w:p>
        </w:tc>
        <w:tc>
          <w:tcPr>
            <w:tcW w:type="dxa" w:w="39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Derived — topological; computed</w:t>
            </w:r>
          </w:p>
        </w:tc>
      </w:tr>
      <w:tr>
        <w:tc>
          <w:tcPr>
            <w:tcW w:type="dxa" w:w="54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Pair energy 2πK ln(d/a); 1/d force</w:t>
            </w:r>
          </w:p>
        </w:tc>
        <w:tc>
          <w:tcPr>
            <w:tcW w:type="dxa" w:w="39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Derived — computed; BKT correspondence</w:t>
            </w:r>
          </w:p>
        </w:tc>
      </w:tr>
      <w:tr>
        <w:tc>
          <w:tcPr>
            <w:tcW w:type="dxa" w:w="54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Reconnection/annihilation charge conservation</w:t>
            </w:r>
          </w:p>
        </w:tc>
        <w:tc>
          <w:tcPr>
            <w:tcW w:type="dxa" w:w="39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Derived — computed</w:t>
            </w:r>
          </w:p>
        </w:tc>
      </w:tr>
      <w:tr>
        <w:tc>
          <w:tcPr>
            <w:tcW w:type="dxa" w:w="54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BKT finite-T transition</w:t>
            </w:r>
          </w:p>
        </w:tc>
        <w:tc>
          <w:tcPr>
            <w:tcW w:type="dxa" w:w="39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Modeled — XY correspondence; cited</w:t>
            </w:r>
          </w:p>
        </w:tc>
      </w:tr>
      <w:tr>
        <w:tc>
          <w:tcPr>
            <w:tcW w:type="dxa" w:w="54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Identification with physical monopoles/strings</w:t>
            </w:r>
          </w:p>
        </w:tc>
        <w:tc>
          <w:tcPr>
            <w:tcW w:type="dxa" w:w="39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Open — not claimed</w:t>
            </w:r>
          </w:p>
        </w:tc>
      </w:tr>
      <w:tr>
        <w:tc>
          <w:tcPr>
            <w:tcW w:type="dxa" w:w="54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Anything quantum</w:t>
            </w:r>
          </w:p>
        </w:tc>
        <w:tc>
          <w:tcPr>
            <w:tcW w:type="dxa" w:w="39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Out of scope — documented boundary, untouched</w:t>
            </w:r>
          </w:p>
        </w:tc>
      </w:tr>
    </w:tbl>
    <w:p>
      <w:pPr>
        <w:spacing w:after="80"/>
      </w:pPr>
      <w:r>
        <w:rPr>
          <w:sz w:val="22"/>
          <w:szCs w:val="22"/>
        </w:rPr>
        <w:t xml:space="preserve"/>
      </w:r>
    </w:p>
    <w:p>
      <w:pPr>
        <w:pBdr>
          <w:bottom w:val="single" w:color="7B2D26" w:sz="6" w:space="1"/>
        </w:pBdr>
        <w:spacing w:after="0" w:before="0"/>
      </w:pPr>
      <w:r>
        <w:rPr>
          <w:sz w:val="22"/>
          <w:szCs w:val="22"/>
        </w:rPr>
        <w:t xml:space="preserve"/>
      </w:r>
    </w:p>
    <w:p>
      <w:pPr>
        <w:spacing w:after="80"/>
      </w:pPr>
      <w:r>
        <w:rPr>
          <w:sz w:val="22"/>
          <w:szCs w:val="22"/>
        </w:rPr>
        <w:t xml:space="preserve"/>
      </w:r>
    </w:p>
    <w:p>
      <w:pPr>
        <w:pStyle w:val="Heading1"/>
        <w:spacing w:after="150" w:before="340"/>
      </w:pPr>
      <w:r>
        <w:rPr>
          <w:rFonts w:ascii="Times New Roman" w:cs="Times New Roman" w:eastAsia="Times New Roman" w:hAnsi="Times New Roman"/>
          <w:b/>
          <w:bCs/>
          <w:color w:val="1F3864"/>
          <w:sz w:val="28"/>
          <w:szCs w:val="28"/>
        </w:rPr>
        <w:t xml:space="preserve">Conclusion</w:t>
      </w:r>
    </w:p>
    <w:p>
      <w:pPr>
        <w:spacing w:after="160" w:before="0" w:line="276"/>
        <w:jc w:val="both"/>
      </w:pPr>
      <w:r>
        <w:rPr>
          <w:rFonts w:ascii="Times New Roman" w:cs="Times New Roman" w:eastAsia="Times New Roman" w:hAnsi="Times New Roman"/>
          <w:sz w:val="24"/>
          <w:szCs w:val="24"/>
        </w:rPr>
        <w:t xml:space="preserve">Defect theory completes the regime the homogenization derivation deferred, on the identical continuum functional and with no new energy introduced. A single vortex carries the logarithmically divergent energy πK ln(R/a) — the divergence that required excluding defects from the smooth theory — and the universal coefficient πK is confirmed by direct lattice computation to better than one percent. Topological charge is the integer winding number, quantized and conserved; vortex–antivortex pairs have finite energy 2πK ln(d/a) with a two-dimensional Coulomb interaction, reproducing Berezinskii–Kosterlitz–Thouless physics; and reconnection and annihilation change defect connectivity while conserving total charge, providing the route by which a defected medium relaxes back to the smooth regime the homogenization theorem describes. All five results are reproducibly computed. The smooth sector and the defect sector are two faces of one continuum theory: the homogenization theorem needed defects absent to define the continuum limit, and this paper shows exactly what those excluded defects cost and how they behave — closing, honestly and computationally, the one gap the continuum chain had openly left open.</w:t>
      </w:r>
    </w:p>
    <w:p>
      <w:pPr>
        <w:spacing w:after="80"/>
      </w:pPr>
      <w:r>
        <w:rPr>
          <w:sz w:val="22"/>
          <w:szCs w:val="22"/>
        </w:rPr>
        <w:t xml:space="preserve"/>
      </w:r>
    </w:p>
    <w:p>
      <w:r>
        <w:rPr>
          <w:b/>
        </w:rPr>
        <w:t>Registered Claims in This Paper</w:t>
      </w:r>
    </w:p>
    <w:p>
      <w:r>
        <w:t>Each statement below is traceable to the machine-readable registry (claims.yaml), the corpus's single source of truth. Status labels: Derived (follows from stated mechanics), Modeled (reproduces data with declared inputs), EFT-constrained (bounded by effective-theory limits), Conjecture (proposed, not derived), Open (registered unsolved problem), Failed (falsified, kept as a finding). Where a claim is code-backed, the named benchmark reruns it.</w:t>
      </w:r>
    </w:p>
    <w:p>
      <w:r>
        <w:rPr>
          <w:b/>
        </w:rPr>
        <w:t xml:space="preserve">• FND-007 [Derived]: </w:t>
      </w:r>
      <w:r>
        <w:t>Defect regime  [benchmark: benchmarks/micromech/defect_theory.py]</w:t>
      </w:r>
    </w:p>
    <w:p>
      <w:r>
        <w:rPr>
          <w:b/>
        </w:rPr>
        <w:t xml:space="preserve">• FND-008 [Derived]: </w:t>
      </w:r>
      <w:r>
        <w:t>Topological charge = integer winding number, quantized and conserved  [benchmark: benchmarks/micromech/defect_theory.py]</w:t>
      </w:r>
    </w:p>
    <w:p>
      <w:r>
        <w:rPr>
          <w:b/>
        </w:rPr>
        <w:t xml:space="preserve">• FND-009 [Derived]: </w:t>
      </w:r>
      <w:r>
        <w:t>Vortex-antivortex pair energy 2 pi K ln  [benchmark: benchmarks/micromech/defect_theory.py]</w:t>
      </w:r>
    </w:p>
    <w:p/>
    <w:p>
      <w:r>
        <w:rPr>
          <w:b/>
        </w:rPr>
        <w:t xml:space="preserve">• FND-010 [Derived]: </w:t>
      </w:r>
      <w:r>
        <w:t>Reconnection and annihilation conserve total topological charge  [benchmark: benchmarks/micromech/defect_theory.py]</w:t>
      </w:r>
    </w:p>
    <w:p/>
    <w:p>
      <w:r>
        <w:t>Programme credit: the core Rope Hypothesis is due to Bill Gaede; this work develops and formalises it. Computational collaboration and drafting by Claude (Anthropic). Correspondence to palmer100@gmail.com.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50" w:before="340"/>
      <w:outlineLvl w:val="0"/>
    </w:pPr>
    <w:rPr>
      <w:rFonts w:ascii="Times New Roman" w:cs="Times New Roman" w:eastAsia="Times New Roman" w:hAnsi="Times New Roman"/>
      <w:b/>
      <w:bCs/>
      <w:color w:val="1F3864"/>
      <w:sz w:val="28"/>
      <w:szCs w:val="28"/>
    </w:rPr>
  </w:style>
  <w:style w:type="paragraph" w:styleId="Heading2">
    <w:name w:val="Heading 2"/>
    <w:basedOn w:val="Normal"/>
    <w:next w:val="Normal"/>
    <w:qFormat/>
    <w:pPr>
      <w:spacing w:after="110" w:before="240"/>
      <w:outlineLvl w:val="1"/>
    </w:pPr>
    <w:rPr>
      <w:rFonts w:ascii="Times New Roman" w:cs="Times New Roman" w:eastAsia="Times New Roman" w:hAnsi="Times New Roman"/>
      <w:b/>
      <w:bCs/>
      <w:i/>
      <w:iCs/>
      <w:color w:val="2E4057"/>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2026-07-06T18:25:41.683Z</dcterms:created>
  <dcterms:modified xsi:type="dcterms:W3CDTF">2026-07-06T18:25:41.696Z</dcterms:modified>
</cp:coreProperties>
</file>

<file path=docProps/custom.xml><?xml version="1.0" encoding="utf-8"?>
<Properties xmlns="http://schemas.openxmlformats.org/officeDocument/2006/custom-properties" xmlns:vt="http://schemas.openxmlformats.org/officeDocument/2006/docPropsVTypes"/>
</file>