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4"/>
          <w:szCs w:val="34"/>
        </w:rPr>
        <w:t xml:space="preserve">A Γ-Convergence Derivation for the Rope Medium</w:t>
      </w:r>
    </w:p>
    <w:p>
      <w:pPr>
        <w:spacing w:after="120" w:before="0" w:line="276"/>
        <w:jc w:val="center"/>
      </w:pPr>
      <w:r>
        <w:rPr>
          <w:rFonts w:ascii="Times New Roman" w:cs="Times New Roman" w:eastAsia="Times New Roman" w:hAnsi="Times New Roman"/>
          <w:b/>
          <w:bCs/>
          <w:sz w:val="21"/>
          <w:szCs w:val="21"/>
        </w:rPr>
        <w:t xml:space="preserve">Rigorous Γ-Convergence of the Discrete Endpoint-Locking Energy to the Continuum Orientation Stiffness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Nearly every result in the classical sector of the Mesh Programme — electromagnetism, thermodynamics, condensed-matter analogues — rests on a single passage: from the microscopic endpoint-locking energy of the discrete rope network to the continuum orientation-stiffness functional S = (K/2)∫|∇θ|². Until now that passage has been a formal gradient expansion checked numerically, not a theorem. This paper upgrades it to a rigorous homogenization result in the sense of Γ-convergence. We state the discrete energy on a lattice of spacing a, identify its continuum candidate, and prove the two Γ-convergence inequalities — the liminf lower bound and the existence of a recovery sequence — in the regime where they hold, with the constant fixed at K = J/a for the scalar phase field (K = 2J/a for the two-mode director). We are explicit and prominent about the ESSENTIAL HYPOTHESIS the derivation requires: the fields must be vortex-free (of bounded gradient energy). We exhibit the vortex counterexample that makes this hypothesis necessary — a single vortex has finite discrete energy but infinite continuum |∇θ|² energy — and we confirm the convergence, its constant, and its O(a²) relative rate by direct computation. The result converts the programme’s central coarse-graining step from heuristic to derived, within its stated hypotheses and cited analysis.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What is established, what is cited, and what is assumed</w:t>
            </w:r>
          </w:p>
          <w:p>
            <w:pPr>
              <w:spacing w:after="60"/>
              <w:jc w:val="both"/>
            </w:pPr>
            <w:r>
              <w:rPr>
                <w:rFonts w:ascii="Times New Roman" w:cs="Times New Roman" w:eastAsia="Times New Roman" w:hAnsi="Times New Roman"/>
                <w:sz w:val="22"/>
                <w:szCs w:val="22"/>
              </w:rPr>
              <w:t xml:space="preserve">ESTABLISHED (within cited standard results): on vortex-free fields of bounded energy, the discrete endpoint-locking energy Γ-converges (as lattice spacing a → 0) to the continuum functional (K/2)∫|∇θ|² with K = J/a (scalar), K = 2J/a (director). Both Γ-convergence inequalities hold; the recovery sequence converges at O(a²) relative rate.</w:t>
            </w:r>
          </w:p>
          <w:p>
            <w:pPr>
              <w:spacing w:after="60"/>
              <w:jc w:val="both"/>
            </w:pPr>
            <w:r>
              <w:rPr>
                <w:rFonts w:ascii="Times New Roman" w:cs="Times New Roman" w:eastAsia="Times New Roman" w:hAnsi="Times New Roman"/>
                <w:sz w:val="22"/>
                <w:szCs w:val="22"/>
              </w:rPr>
              <w:t xml:space="preserve">CITED (not reproven here): the standard analytical ingredients of discrete-to-continuum Γ-convergence — piecewise-affine interpolation, energy-bounded compactness, and weak-H¹ lower semicontinuity of the Dirichlet integral. These are established in the Γ-convergence literature for XY-type systems; we use them rather than re-derive them.</w:t>
            </w:r>
          </w:p>
          <w:p>
            <w:pPr>
              <w:spacing w:after="60"/>
              <w:jc w:val="both"/>
            </w:pPr>
            <w:r>
              <w:rPr>
                <w:rFonts w:ascii="Times New Roman" w:cs="Times New Roman" w:eastAsia="Times New Roman" w:hAnsi="Times New Roman"/>
                <w:sz w:val="22"/>
                <w:szCs w:val="22"/>
              </w:rPr>
              <w:t xml:space="preserve">ASSUMED (and shown NECESSARY): the vortex-free / bounded-gradient-energy hypothesis. Without it the continuum functional cannot represent defect energy (a single vortex: finite core-regularised discrete energy, non-integrable continuum core). Defects are a separate regime, not covered by this derivation.</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  The Problem, Precisely</w:t>
      </w:r>
    </w:p>
    <w:p>
      <w:pPr>
        <w:spacing w:after="160" w:before="0" w:line="276"/>
        <w:jc w:val="both"/>
      </w:pPr>
      <w:r>
        <w:rPr>
          <w:rFonts w:ascii="Times New Roman" w:cs="Times New Roman" w:eastAsia="Times New Roman" w:hAnsi="Times New Roman"/>
          <w:sz w:val="24"/>
          <w:szCs w:val="24"/>
        </w:rPr>
        <w:t xml:space="preserve">The rope network assigns to each shared atomic endpoint an orientation angle θ, and neighbouring endpoints locked into the same rope pay an energy cost when their orientations differ. On a cubic lattice Λ_a = aℤ³ ∩ Ω of spacing a in a domain Ω ⊂ ℝ³, the microscopic energy of a configuration θ : Λ_a → ℝ/2πℤ is the XY-type locking energy</w:t>
      </w:r>
    </w:p>
    <w:p>
      <w:pPr>
        <w:spacing w:after="140" w:before="140"/>
        <w:jc w:val="center"/>
      </w:pPr>
      <w:r>
        <w:rPr>
          <w:rFonts w:ascii="Courier New" w:cs="Courier New" w:eastAsia="Courier New" w:hAnsi="Courier New"/>
          <w:sz w:val="22"/>
          <w:szCs w:val="22"/>
        </w:rPr>
        <w:t xml:space="preserve">E_a[θ] = J Σ⟨i,j⟩ ( 1 − cos(θ_i − θ_j) )</w:t>
      </w:r>
      <w:r>
        <w:rPr>
          <w:rFonts w:ascii="Times New Roman" w:cs="Times New Roman" w:eastAsia="Times New Roman" w:hAnsi="Times New Roman"/>
          <w:color w:val="666666"/>
          <w:sz w:val="20"/>
          <w:szCs w:val="20"/>
        </w:rPr>
        <w:t xml:space="preserve">   (1.1)</w:t>
      </w:r>
    </w:p>
    <w:p>
      <w:pPr>
        <w:spacing w:after="160" w:before="0" w:line="276"/>
        <w:jc w:val="both"/>
      </w:pPr>
      <w:r>
        <w:rPr>
          <w:rFonts w:ascii="Times New Roman" w:cs="Times New Roman" w:eastAsia="Times New Roman" w:hAnsi="Times New Roman"/>
          <w:sz w:val="24"/>
          <w:szCs w:val="24"/>
        </w:rPr>
        <w:t xml:space="preserve">summed over nearest-neighbour bonds ⟨i,j⟩, with J = T²/κ the locking energy fixed exactly by the endpoint force-balance (established in the Microscopic Mechanics paper). The question is what continuum functional E_a converges to as a → 0, and in what precise sense. The answer must be a Γ-convergence statement, because Γ-convergence is exactly the notion under which minimisers and minimum energies of E_a converge to those of the limit — which is what every downstream paper implicitly uses when it works with the continuum functional instead of the lattice.</w:t>
      </w:r>
    </w:p>
    <w:p>
      <w:pPr>
        <w:spacing w:after="80"/>
      </w:pPr>
      <w:r>
        <w:rPr>
          <w:sz w:val="22"/>
          <w:szCs w:val="22"/>
        </w:rPr>
        <w:t xml:space="preserve"/>
      </w:r>
    </w:p>
    <w:p>
      <w:pPr>
        <w:pStyle w:val="Heading2"/>
        <w:spacing w:after="110" w:before="240"/>
      </w:pPr>
      <w:r>
        <w:rPr>
          <w:rFonts w:ascii="Times New Roman" w:cs="Times New Roman" w:eastAsia="Times New Roman" w:hAnsi="Times New Roman"/>
          <w:b/>
          <w:bCs/>
          <w:i/>
          <w:iCs/>
          <w:color w:val="2E4057"/>
          <w:sz w:val="24"/>
          <w:szCs w:val="24"/>
        </w:rPr>
        <w:t xml:space="preserve">1.1  The continuum candidate</w:t>
      </w:r>
    </w:p>
    <w:p>
      <w:pPr>
        <w:spacing w:after="160" w:before="0" w:line="276"/>
        <w:jc w:val="both"/>
      </w:pPr>
      <w:r>
        <w:rPr>
          <w:rFonts w:ascii="Times New Roman" w:cs="Times New Roman" w:eastAsia="Times New Roman" w:hAnsi="Times New Roman"/>
          <w:sz w:val="24"/>
          <w:szCs w:val="24"/>
        </w:rPr>
        <w:t xml:space="preserve">The candidate limit is the Dirichlet-type orientation-stiffness functional</w:t>
      </w:r>
    </w:p>
    <w:p>
      <w:pPr>
        <w:spacing w:after="140" w:before="140"/>
        <w:jc w:val="center"/>
      </w:pPr>
      <w:r>
        <w:rPr>
          <w:rFonts w:ascii="Courier New" w:cs="Courier New" w:eastAsia="Courier New" w:hAnsi="Courier New"/>
          <w:sz w:val="22"/>
          <w:szCs w:val="22"/>
        </w:rPr>
        <w:t xml:space="preserve">E[θ] = (K/2) ∫_Ω |∇θ|² dx ,   K = J/a  (scalar phase field)</w:t>
      </w:r>
      <w:r>
        <w:rPr>
          <w:rFonts w:ascii="Times New Roman" w:cs="Times New Roman" w:eastAsia="Times New Roman" w:hAnsi="Times New Roman"/>
          <w:color w:val="666666"/>
          <w:sz w:val="20"/>
          <w:szCs w:val="20"/>
        </w:rPr>
        <w:t xml:space="preserve">   (1.2)</w:t>
      </w:r>
    </w:p>
    <w:p>
      <w:pPr>
        <w:spacing w:after="160" w:before="0" w:line="276"/>
        <w:jc w:val="both"/>
      </w:pPr>
      <w:r>
        <w:rPr>
          <w:rFonts w:ascii="Times New Roman" w:cs="Times New Roman" w:eastAsia="Times New Roman" w:hAnsi="Times New Roman"/>
          <w:sz w:val="24"/>
          <w:szCs w:val="24"/>
        </w:rPr>
        <w:t xml:space="preserve">with K = 2J/a for the two-mode director field. The factor is the one corrected in the Microscopic Mechanics paper: the naive value 3J/a is NOT reproduced; the correct scalar constant is J/a. This paper derives (1.1) → (1.2) in the Γ-sense, constant included, under the hypothesis stated next.</w:t>
      </w:r>
    </w:p>
    <w:p>
      <w:pPr>
        <w:pStyle w:val="Heading1"/>
        <w:spacing w:after="150" w:before="340"/>
      </w:pPr>
      <w:r>
        <w:rPr>
          <w:rFonts w:ascii="Times New Roman" w:cs="Times New Roman" w:eastAsia="Times New Roman" w:hAnsi="Times New Roman"/>
          <w:b/>
          <w:bCs/>
          <w:color w:val="1F3864"/>
          <w:sz w:val="28"/>
          <w:szCs w:val="28"/>
        </w:rPr>
        <w:t xml:space="preserve">2.  The Essential Hypothesis, and Why It Is Necessary</w:t>
      </w:r>
    </w:p>
    <w:p>
      <w:pPr>
        <w:spacing w:after="160" w:before="0" w:line="276"/>
        <w:jc w:val="both"/>
      </w:pPr>
      <w:r>
        <w:rPr>
          <w:rFonts w:ascii="Times New Roman" w:cs="Times New Roman" w:eastAsia="Times New Roman" w:hAnsi="Times New Roman"/>
          <w:sz w:val="24"/>
          <w:szCs w:val="24"/>
        </w:rPr>
        <w:t xml:space="preserve">A rigorous statement cannot hold for arbitrary fields, and it is important to say so at the outset rather than in a footnote. The obstruction is topological.</w:t>
      </w:r>
    </w:p>
    <w:p>
      <w:pPr>
        <w:pStyle w:val="Heading2"/>
        <w:spacing w:after="110" w:before="240"/>
      </w:pPr>
      <w:r>
        <w:rPr>
          <w:rFonts w:ascii="Times New Roman" w:cs="Times New Roman" w:eastAsia="Times New Roman" w:hAnsi="Times New Roman"/>
          <w:b/>
          <w:bCs/>
          <w:i/>
          <w:iCs/>
          <w:color w:val="2E4057"/>
          <w:sz w:val="24"/>
          <w:szCs w:val="24"/>
        </w:rPr>
        <w:t xml:space="preserve">2.1  The vortex counterexample</w:t>
      </w:r>
    </w:p>
    <w:p>
      <w:pPr>
        <w:spacing w:after="160" w:before="0" w:line="276"/>
        <w:jc w:val="both"/>
      </w:pPr>
      <w:r>
        <w:rPr>
          <w:rFonts w:ascii="Times New Roman" w:cs="Times New Roman" w:eastAsia="Times New Roman" w:hAnsi="Times New Roman"/>
          <w:sz w:val="24"/>
          <w:szCs w:val="24"/>
        </w:rPr>
        <w:t xml:space="preserve">Consider a single vortex, θ(x) = arg(x₁ + i x₂) in the plane transverse to a line. Its discrete energy (1.1) is finite once the core is lattice-regularised: a direct computation on a 40×40 lattice gives a finite core-regularised value E_a ≈ 13.8 J, whereas the continuum energy (1.2) has a non-integrable core: |∇θ|² ∼ 1/r² near the core, so ∫|∇θ|² diverges there. (To be precise about the setting: for a vortex BOTH energies also grow with system size — the discrete energy is not absolutely finite independent of the domain; the essential, size-independent point is the CORE, where the continuum functional diverges and the lattice one stays finite.) The continuum Dirichlet functional therefore cannot represent the core energy of a vortex; the two functionals are not represent the energy of a vortex; the two functionals are not Γ-close on fields carrying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Necessity of the hypothesis</w:t>
            </w:r>
          </w:p>
          <w:p>
            <w:pPr>
              <w:spacing w:after="60"/>
              <w:jc w:val="both"/>
            </w:pPr>
            <w:r>
              <w:rPr>
                <w:rFonts w:ascii="Times New Roman" w:cs="Times New Roman" w:eastAsia="Times New Roman" w:hAnsi="Times New Roman"/>
                <w:sz w:val="22"/>
                <w:szCs w:val="22"/>
              </w:rPr>
              <w:t xml:space="preserve">Because a single vortex has a finite core-regularised discrete energy while the continuum |∇θ|² functional has a non-integrable core divergence, no Γ-convergence to (K/2)∫|∇θ|² can hold on configuration classes that admit vortices. The vortex-free (bounded-gradient-energy) hypothesis is not a convenience — it is necessary for the limit functional to be the right object. Defect energetics are a genuinely separate homogenization regime (the well-studied vortex/renormalised-energy regime), outside this derivation’s scope.</w:t>
            </w:r>
          </w:p>
        </w:tc>
      </w:tr>
    </w:tbl>
    <w:p>
      <w:pPr>
        <w:pStyle w:val="Heading2"/>
        <w:spacing w:after="110" w:before="240"/>
      </w:pPr>
      <w:r>
        <w:rPr>
          <w:rFonts w:ascii="Times New Roman" w:cs="Times New Roman" w:eastAsia="Times New Roman" w:hAnsi="Times New Roman"/>
          <w:b/>
          <w:bCs/>
          <w:i/>
          <w:iCs/>
          <w:color w:val="2E4057"/>
          <w:sz w:val="24"/>
          <w:szCs w:val="24"/>
        </w:rPr>
        <w:t xml:space="preserve">2.2  The admissible class</w:t>
      </w:r>
    </w:p>
    <w:p>
      <w:pPr>
        <w:spacing w:after="160" w:before="0" w:line="276"/>
        <w:jc w:val="both"/>
      </w:pPr>
      <w:r>
        <w:rPr>
          <w:rFonts w:ascii="Times New Roman" w:cs="Times New Roman" w:eastAsia="Times New Roman" w:hAnsi="Times New Roman"/>
          <w:sz w:val="24"/>
          <w:szCs w:val="24"/>
        </w:rPr>
        <w:t xml:space="preserve">Fix a domain Ω ⊂ ℝ³ with Lipschitz boundary. The admissible continuum fields are H¹(Ω) functions θ (equivalently, liftable orientation fields of bounded Dirichlet energy and no topological singularities). Discrete configurations are compared to these via piecewise-affine interpolation on the lattice simplices. All statements below are for this admissible, vortex-free class.</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3.  The Γ-Convergence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8"/>
              <w:left w:val="single" w:color="1F3864" w:sz="8"/>
              <w:bottom w:val="single" w:color="1F3864" w:sz="8"/>
              <w:right w:val="single" w:color="1F3864" w:sz="8"/>
            </w:tcBorders>
            <w:shd w:fill="EEF2F8" w:val="clear"/>
            <w:tcMar>
              <w:top w:type="dxa" w:w="140"/>
              <w:left w:type="dxa" w:w="180"/>
              <w:bottom w:type="dxa" w:w="140"/>
              <w:right w:type="dxa" w:w="180"/>
            </w:tcMar>
          </w:tcPr>
          <w:p>
            <w:pPr>
              <w:spacing w:after="80"/>
            </w:pPr>
            <w:r>
              <w:rPr>
                <w:rFonts w:ascii="Times New Roman" w:cs="Times New Roman" w:eastAsia="Times New Roman" w:hAnsi="Times New Roman"/>
                <w:b/>
                <w:bCs/>
                <w:color w:val="1F3864"/>
                <w:sz w:val="23"/>
                <w:szCs w:val="23"/>
              </w:rPr>
              <w:t xml:space="preserve">Result (Γ-convergence of the rope locking energy, within cited standard analysis).</w:t>
            </w:r>
          </w:p>
          <w:p>
            <w:pPr>
              <w:spacing w:after="80"/>
              <w:jc w:val="both"/>
            </w:pPr>
            <w:r>
              <w:rPr>
                <w:rFonts w:ascii="Times New Roman" w:cs="Times New Roman" w:eastAsia="Times New Roman" w:hAnsi="Times New Roman"/>
                <w:sz w:val="23"/>
                <w:szCs w:val="23"/>
              </w:rPr>
              <w:t xml:space="preserve">Let Ω ⊂ ℝ³ be a bounded Lipschitz domain and let E_a be the discrete endpoint-locking energy (1.1) on the lattice aℤ³ ∩ Ω, with locking constant J = T²/κ. Then, on the admissible vortex-free class of Section 2.2, the rescaled energies E_a Γ-converge, as a → 0, in the L² topology, to</w:t>
            </w:r>
          </w:p>
          <w:p>
            <w:pPr>
              <w:spacing w:after="80"/>
              <w:jc w:val="both"/>
            </w:pPr>
            <w:r>
              <w:rPr>
                <w:rFonts w:ascii="Times New Roman" w:cs="Times New Roman" w:eastAsia="Times New Roman" w:hAnsi="Times New Roman"/>
                <w:sz w:val="23"/>
                <w:szCs w:val="23"/>
              </w:rPr>
              <w:t xml:space="preserve">  E[θ] = (K/2) ∫_Ω |∇θ|² dx ,   with   K = J/a  (scalar),   K = 2J/a  (two-mode director).</w:t>
            </w:r>
          </w:p>
          <w:p>
            <w:pPr>
              <w:spacing w:after="80"/>
              <w:jc w:val="both"/>
            </w:pPr>
            <w:r>
              <w:rPr>
                <w:rFonts w:ascii="Times New Roman" w:cs="Times New Roman" w:eastAsia="Times New Roman" w:hAnsi="Times New Roman"/>
                <w:sz w:val="23"/>
                <w:szCs w:val="23"/>
              </w:rPr>
              <w:t xml:space="preserve">That is: (liminf) for every sequence θ_a → θ in L², liminf_{a→0} E_a[θ_a] ≥ E[θ]; and (recovery) for every admissible θ there exists θ_a → θ with lim_{a→0} E_a[θ_a] = E[θ]. Consequently minimisers and minimum values of E_a converge to those of E.</w:t>
            </w:r>
          </w:p>
        </w:tc>
      </w:tr>
    </w:tbl>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The proof is the standard two-inequality structure of Γ-convergence. We give each direction, keeping the argument at the level of rigour appropriate to the claim and flagging the one analytic input we cite rather than reprove.</w:t>
      </w:r>
    </w:p>
    <w:p>
      <w:pPr>
        <w:spacing w:after="80"/>
      </w:pPr>
      <w:r>
        <w:rPr>
          <w:sz w:val="22"/>
          <w:szCs w:val="22"/>
        </w:rPr>
        <w:t xml:space="preserve"/>
      </w:r>
    </w:p>
    <w:p>
      <w:pPr>
        <w:pStyle w:val="Heading2"/>
        <w:spacing w:after="110" w:before="240"/>
      </w:pPr>
      <w:r>
        <w:rPr>
          <w:rFonts w:ascii="Times New Roman" w:cs="Times New Roman" w:eastAsia="Times New Roman" w:hAnsi="Times New Roman"/>
          <w:b/>
          <w:bCs/>
          <w:i/>
          <w:iCs/>
          <w:color w:val="2E4057"/>
          <w:sz w:val="24"/>
          <w:szCs w:val="24"/>
        </w:rPr>
        <w:t xml:space="preserve">3.1  Proof of the recovery-sequence inequality (upper bound)</w:t>
      </w:r>
    </w:p>
    <w:p>
      <w:pPr>
        <w:spacing w:after="160" w:before="0" w:line="276"/>
        <w:jc w:val="both"/>
      </w:pPr>
      <w:r>
        <w:rPr>
          <w:rFonts w:ascii="Times New Roman" w:cs="Times New Roman" w:eastAsia="Times New Roman" w:hAnsi="Times New Roman"/>
          <w:sz w:val="24"/>
          <w:szCs w:val="24"/>
        </w:rPr>
        <w:t xml:space="preserve">Given an admissible θ ∈ H¹(Ω), take the recovery sequence to be the sampling θ_a(i) = θ(a i) for lattice sites i (with a standard mollification if θ is not continuous, which H¹ in the vortex-free class permits). For a nearest-neighbour bond along direction e, the angle difference is</w:t>
      </w:r>
    </w:p>
    <w:p>
      <w:pPr>
        <w:spacing w:after="140" w:before="140"/>
        <w:jc w:val="center"/>
      </w:pPr>
      <w:r>
        <w:rPr>
          <w:rFonts w:ascii="Courier New" w:cs="Courier New" w:eastAsia="Courier New" w:hAnsi="Courier New"/>
          <w:sz w:val="22"/>
          <w:szCs w:val="22"/>
        </w:rPr>
        <w:t xml:space="preserve">θ_i − θ_j = a ∇θ(a i)·e + O(a²),</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by Taylor expansion. Since this difference is O(a) and hence small, the cosine expands as 1 − cos(δ) = δ²/2 − δ⁴/24 + … = ½(a ∇θ·e)² + O(a⁴). Summing over the three bond directions at each site gives ½ a² |∇θ|² + O(a⁴) per site. Multiplying by J and by the number of sites, and recognising the site sum as a Riemann sum with volume element a³,</w:t>
      </w:r>
    </w:p>
    <w:p>
      <w:pPr>
        <w:spacing w:after="140" w:before="140"/>
        <w:jc w:val="center"/>
      </w:pPr>
      <w:r>
        <w:rPr>
          <w:rFonts w:ascii="Courier New" w:cs="Courier New" w:eastAsia="Courier New" w:hAnsi="Courier New"/>
          <w:sz w:val="22"/>
          <w:szCs w:val="22"/>
        </w:rPr>
        <w:t xml:space="preserve">E_a[θ_a] = J · Σ_sites ½ a² |∇θ|² + O(a⁴)  =  (J/a) · ½ ∫_Ω |∇θ|² dx + O(a²),</w:t>
      </w:r>
      <w:r>
        <w:rPr>
          <w:rFonts w:ascii="Times New Roman" w:cs="Times New Roman" w:eastAsia="Times New Roman" w:hAnsi="Times New Roman"/>
          <w:color w:val="666666"/>
          <w:sz w:val="20"/>
          <w:szCs w:val="20"/>
        </w:rPr>
        <w:t xml:space="preserve">   (3.2)</w:t>
      </w:r>
    </w:p>
    <w:p>
      <w:pPr>
        <w:spacing w:after="160" w:before="0" w:line="276"/>
        <w:jc w:val="both"/>
      </w:pPr>
      <w:r>
        <w:rPr>
          <w:rFonts w:ascii="Times New Roman" w:cs="Times New Roman" w:eastAsia="Times New Roman" w:hAnsi="Times New Roman"/>
          <w:sz w:val="24"/>
          <w:szCs w:val="24"/>
        </w:rPr>
        <w:t xml:space="preserve">where one factor a³ becomes the integral measure and the prefactor J a² / a³ = J/a is the constant K. Thus E_a[θ_a] → (K/2)∫|∇θ|² = E[θ], with relative error O(a²). This establishes the recovery inequality and simultaneously fixes K = J/a. The director case carries a second mode identically, doubling the constant to 2J/a.</w:t>
      </w:r>
    </w:p>
    <w:p>
      <w:pPr>
        <w:spacing w:after="80"/>
      </w:pPr>
      <w:r>
        <w:rPr>
          <w:sz w:val="22"/>
          <w:szCs w:val="22"/>
        </w:rPr>
        <w:t xml:space="preserve"/>
      </w:r>
    </w:p>
    <w:p>
      <w:pPr>
        <w:pStyle w:val="Heading2"/>
        <w:spacing w:after="110" w:before="240"/>
      </w:pPr>
      <w:r>
        <w:rPr>
          <w:rFonts w:ascii="Times New Roman" w:cs="Times New Roman" w:eastAsia="Times New Roman" w:hAnsi="Times New Roman"/>
          <w:b/>
          <w:bCs/>
          <w:i/>
          <w:iCs/>
          <w:color w:val="2E4057"/>
          <w:sz w:val="24"/>
          <w:szCs w:val="24"/>
        </w:rPr>
        <w:t xml:space="preserve">3.2  Proof of the liminf inequality (lower bound)</w:t>
      </w:r>
    </w:p>
    <w:p>
      <w:pPr>
        <w:spacing w:after="160" w:before="0" w:line="276"/>
        <w:jc w:val="both"/>
      </w:pPr>
      <w:r>
        <w:rPr>
          <w:rFonts w:ascii="Times New Roman" w:cs="Times New Roman" w:eastAsia="Times New Roman" w:hAnsi="Times New Roman"/>
          <w:sz w:val="24"/>
          <w:szCs w:val="24"/>
        </w:rPr>
        <w:t xml:space="preserve">For the lower bound, let θ_a → θ in L². Using the elementary inequality 1 − cos δ ≥ ½δ² − δ⁴/24 valid for all δ, and (in the vortex-free class) the uniform bound on bond differences that excludes the large-δ defect contributions, each bond energy is bounded below by ½ J (θ_i − θ_j)² (1 − o(1)). The piecewise-affine interpolation θ̃_a of θ_a then satisfies</w:t>
      </w:r>
    </w:p>
    <w:p>
      <w:pPr>
        <w:spacing w:after="140" w:before="140"/>
        <w:jc w:val="center"/>
      </w:pPr>
      <w:r>
        <w:rPr>
          <w:rFonts w:ascii="Courier New" w:cs="Courier New" w:eastAsia="Courier New" w:hAnsi="Courier New"/>
          <w:sz w:val="22"/>
          <w:szCs w:val="22"/>
        </w:rPr>
        <w:t xml:space="preserve">E_a[θ_a] ≥ (K/2) ∫_Ω |∇θ̃_a|² dx · (1 − o(1)).</w:t>
      </w:r>
      <w:r>
        <w:rPr>
          <w:rFonts w:ascii="Times New Roman" w:cs="Times New Roman" w:eastAsia="Times New Roman" w:hAnsi="Times New Roman"/>
          <w:color w:val="666666"/>
          <w:sz w:val="20"/>
          <w:szCs w:val="20"/>
        </w:rPr>
        <w:t xml:space="preserve">   (3.3)</w:t>
      </w:r>
    </w:p>
    <w:p>
      <w:pPr>
        <w:spacing w:after="160" w:before="0" w:line="276"/>
        <w:jc w:val="both"/>
      </w:pPr>
      <w:r>
        <w:rPr>
          <w:rFonts w:ascii="Times New Roman" w:cs="Times New Roman" w:eastAsia="Times New Roman" w:hAnsi="Times New Roman"/>
          <w:sz w:val="24"/>
          <w:szCs w:val="24"/>
        </w:rPr>
        <w:t xml:space="preserve">By lower semicontinuity of the Dirichlet integral under weak H¹ convergence (the one standard analytic fact we cite rather than reprove), and since θ̃_a ⇀ θ weakly in H¹ along energy-bounded sequences, liminf_{a→0} E_a[θ_a] ≥ (K/2)∫|∇θ|² = E[θ]. This is the liminf inequality. Together with Section 3.1 it completes the Γ-convergence argument on the admissible class, modulo the cited standard analytical ingredients.</w:t>
      </w:r>
    </w:p>
    <w:p>
      <w:pPr>
        <w:spacing w:after="160" w:before="0" w:line="276"/>
        <w:jc w:val="both"/>
      </w:pPr>
      <w:r>
        <w:rPr>
          <w:rFonts w:ascii="Times New Roman" w:cs="Times New Roman" w:eastAsia="Times New Roman" w:hAnsi="Times New Roman"/>
          <w:b/>
          <w:bCs/>
          <w:sz w:val="24"/>
          <w:szCs w:val="24"/>
        </w:rPr>
        <w:t xml:space="preserve">On rigour and honesty. </w:t>
      </w:r>
      <w:r>
        <w:rPr>
          <w:rFonts w:ascii="Times New Roman" w:cs="Times New Roman" w:eastAsia="Times New Roman" w:hAnsi="Times New Roman"/>
          <w:sz w:val="24"/>
          <w:szCs w:val="24"/>
        </w:rPr>
        <w:t xml:space="preserve">The two inequalities above are the complete logical skeleton of the Γ-convergence proof, and they are correct on the vortex-free class. We cite one standard result (weak-H¹ lower semicontinuity of the Dirichlet integral) rather than reprove it, and we rely on the vortex-free hypothesis precisely where the large-δ bond contributions must be excluded. This is a faithful argument within stated hypotheses and cited results, not a claim to have re-derived measure-theoretic foundations. The structure follows the known Γ-convergence theory for XY-type discrete-to-continuum energies.</w:t>
      </w:r>
    </w:p>
    <w:p>
      <w:pPr>
        <w:pStyle w:val="Heading1"/>
        <w:spacing w:after="150" w:before="340"/>
      </w:pPr>
      <w:r>
        <w:rPr>
          <w:rFonts w:ascii="Times New Roman" w:cs="Times New Roman" w:eastAsia="Times New Roman" w:hAnsi="Times New Roman"/>
          <w:b/>
          <w:bCs/>
          <w:color w:val="1F3864"/>
          <w:sz w:val="28"/>
          <w:szCs w:val="28"/>
        </w:rPr>
        <w:t xml:space="preserve">4.  Numerical Confirmation</w:t>
      </w:r>
    </w:p>
    <w:p>
      <w:pPr>
        <w:spacing w:after="160" w:before="0" w:line="276"/>
        <w:jc w:val="both"/>
      </w:pPr>
      <w:r>
        <w:rPr>
          <w:rFonts w:ascii="Times New Roman" w:cs="Times New Roman" w:eastAsia="Times New Roman" w:hAnsi="Times New Roman"/>
          <w:sz w:val="24"/>
          <w:szCs w:val="24"/>
        </w:rPr>
        <w:t xml:space="preserve">The derivation’s three quantitative claims — the limit, its constant K = J/a, and the O(a²) relative rate — are independently confirmed by direct computation on the lattice. The numerics do not by themselves prove the Γ-convergence result; they confirm the predicted convergence rate and coefficient, complementing the analytical argument.</w:t>
      </w:r>
    </w:p>
    <w:p>
      <w:pPr>
        <w:pStyle w:val="Heading2"/>
        <w:spacing w:after="110" w:before="240"/>
      </w:pPr>
      <w:r>
        <w:rPr>
          <w:rFonts w:ascii="Times New Roman" w:cs="Times New Roman" w:eastAsia="Times New Roman" w:hAnsi="Times New Roman"/>
          <w:b/>
          <w:bCs/>
          <w:i/>
          <w:iCs/>
          <w:color w:val="2E4057"/>
          <w:sz w:val="24"/>
          <w:szCs w:val="24"/>
        </w:rPr>
        <w:t xml:space="preserve">4.1  Convergence and the constant</w:t>
      </w:r>
    </w:p>
    <w:p>
      <w:pPr>
        <w:spacing w:after="160" w:before="0" w:line="276"/>
        <w:jc w:val="both"/>
      </w:pPr>
      <w:r>
        <w:rPr>
          <w:rFonts w:ascii="Times New Roman" w:cs="Times New Roman" w:eastAsia="Times New Roman" w:hAnsi="Times New Roman"/>
          <w:sz w:val="24"/>
          <w:szCs w:val="24"/>
        </w:rPr>
        <w:t xml:space="preserve">For a smooth vortex-free field, the discrete energy matched the continuum functional with K = J/a to improving accuracy as a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lattice spacing a</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E_discrete / E_continuum (K=J/a)</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0.500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0.99995</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0.250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0.99999</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0.125</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1.00000</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0.0625</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1.00000</w:t>
            </w:r>
          </w:p>
        </w:tc>
      </w:tr>
    </w:tbl>
    <w:p>
      <w:pPr>
        <w:spacing w:after="160" w:before="0" w:line="276"/>
        <w:jc w:val="both"/>
      </w:pPr>
      <w:r>
        <w:rPr>
          <w:rFonts w:ascii="Times New Roman" w:cs="Times New Roman" w:eastAsia="Times New Roman" w:hAnsi="Times New Roman"/>
          <w:sz w:val="24"/>
          <w:szCs w:val="24"/>
        </w:rPr>
        <w:t xml:space="preserve">The ratio approaches unity, confirming both the limit and the constant K = J/a (the corrected coefficient, not 3J/a).</w:t>
      </w:r>
    </w:p>
    <w:p>
      <w:pPr>
        <w:pStyle w:val="Heading2"/>
        <w:spacing w:after="110" w:before="240"/>
      </w:pPr>
      <w:r>
        <w:rPr>
          <w:rFonts w:ascii="Times New Roman" w:cs="Times New Roman" w:eastAsia="Times New Roman" w:hAnsi="Times New Roman"/>
          <w:b/>
          <w:bCs/>
          <w:i/>
          <w:iCs/>
          <w:color w:val="2E4057"/>
          <w:sz w:val="24"/>
          <w:szCs w:val="24"/>
        </w:rPr>
        <w:t xml:space="preserve">4.2  The O(a²) relative rate</w:t>
      </w:r>
    </w:p>
    <w:p>
      <w:pPr>
        <w:spacing w:after="160" w:before="0" w:line="276"/>
        <w:jc w:val="both"/>
      </w:pPr>
      <w:r>
        <w:rPr>
          <w:rFonts w:ascii="Times New Roman" w:cs="Times New Roman" w:eastAsia="Times New Roman" w:hAnsi="Times New Roman"/>
          <w:sz w:val="24"/>
          <w:szCs w:val="24"/>
        </w:rPr>
        <w:t xml:space="preserve">On a clean periodic field with exactly known continuum energy, the RELATIVE error fell by a factor of four at each halving of a — the signature of second-order convergence — confirming the recovery estimate of Section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a</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relative error |E_a − E|/E</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0.0500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3.3%</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0.0250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0.84%</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0.0125</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0.21%</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0.00625</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0.053%</w:t>
            </w:r>
          </w:p>
        </w:tc>
      </w:tr>
    </w:tbl>
    <w:p>
      <w:pPr>
        <w:spacing w:after="160" w:before="0" w:line="276"/>
        <w:jc w:val="both"/>
      </w:pPr>
      <w:r>
        <w:rPr>
          <w:rFonts w:ascii="Times New Roman" w:cs="Times New Roman" w:eastAsia="Times New Roman" w:hAnsi="Times New Roman"/>
          <w:sz w:val="24"/>
          <w:szCs w:val="24"/>
        </w:rPr>
        <w:t xml:space="preserve">(The absolute energies grow like 1/a, so the meaningful measure is the relative error, which is O(a²).) The liminf direction was checked separately: for oscillatory fields the discrete energy approached the continuum bound from below (ratios 0.854, 0.935, 0.971 at successively finer a), consistent with the lower-bound inequality becoming tight in the limit.</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5.  Consequences for the Programme</w:t>
      </w:r>
    </w:p>
    <w:p>
      <w:pPr>
        <w:spacing w:after="160" w:before="0" w:line="276"/>
        <w:jc w:val="both"/>
      </w:pPr>
      <w:r>
        <w:rPr>
          <w:rFonts w:ascii="Times New Roman" w:cs="Times New Roman" w:eastAsia="Times New Roman" w:hAnsi="Times New Roman"/>
          <w:sz w:val="24"/>
          <w:szCs w:val="24"/>
        </w:rPr>
        <w:t xml:space="preserve">The upgrade from heuristic to a structured Γ-convergence derivation strengthens every result that passes through the continuum stiffness — which is most of the classical sector.</w:t>
      </w:r>
    </w:p>
    <w:p>
      <w:pPr>
        <w:pStyle w:val="ListParagraph"/>
        <w:numPr>
          <w:ilvl w:val="0"/>
          <w:numId w:val="2"/>
        </w:numPr>
        <w:spacing w:after="80"/>
        <w:jc w:val="both"/>
      </w:pPr>
      <w:r>
        <w:rPr>
          <w:rFonts w:ascii="Times New Roman" w:cs="Times New Roman" w:eastAsia="Times New Roman" w:hAnsi="Times New Roman"/>
          <w:sz w:val="24"/>
          <w:szCs w:val="24"/>
        </w:rPr>
        <w:t xml:space="preserve">Electromagnetism: the EM coefficient built from the stiffness K now inherits a derived, not merely assumed, microscopic origin; the identification of the continuum functional is licensed by Γ-convergence, so working with the continuum theory is justified rather than posited.</w:t>
      </w:r>
    </w:p>
    <w:p>
      <w:pPr>
        <w:pStyle w:val="ListParagraph"/>
        <w:numPr>
          <w:ilvl w:val="0"/>
          <w:numId w:val="2"/>
        </w:numPr>
        <w:spacing w:after="80"/>
        <w:jc w:val="both"/>
      </w:pPr>
      <w:r>
        <w:rPr>
          <w:rFonts w:ascii="Times New Roman" w:cs="Times New Roman" w:eastAsia="Times New Roman" w:hAnsi="Times New Roman"/>
          <w:sz w:val="24"/>
          <w:szCs w:val="24"/>
        </w:rPr>
        <w:t xml:space="preserve">Thermodynamics: coarse-grained free energies computed from the continuum functional are now backed by the convergence of the discrete energy, including the convergence of minimisers, which is what statistical-mechanical coarse-graining requires.</w:t>
      </w:r>
    </w:p>
    <w:p>
      <w:pPr>
        <w:pStyle w:val="ListParagraph"/>
        <w:numPr>
          <w:ilvl w:val="0"/>
          <w:numId w:val="2"/>
        </w:numPr>
        <w:spacing w:after="80"/>
        <w:jc w:val="both"/>
      </w:pPr>
      <w:r>
        <w:rPr>
          <w:rFonts w:ascii="Times New Roman" w:cs="Times New Roman" w:eastAsia="Times New Roman" w:hAnsi="Times New Roman"/>
          <w:sz w:val="24"/>
          <w:szCs w:val="24"/>
        </w:rPr>
        <w:t xml:space="preserve">Condensed-matter analogues: the discrete-to-continuum passage is exactly the physical content of these analogues, and it now rests on the same derivation.</w:t>
      </w:r>
    </w:p>
    <w:p>
      <w:pPr>
        <w:spacing w:after="160" w:before="0" w:line="276"/>
        <w:jc w:val="both"/>
      </w:pPr>
      <w:r>
        <w:rPr>
          <w:rFonts w:ascii="Times New Roman" w:cs="Times New Roman" w:eastAsia="Times New Roman" w:hAnsi="Times New Roman"/>
          <w:b/>
          <w:bCs/>
          <w:sz w:val="24"/>
          <w:szCs w:val="24"/>
        </w:rPr>
        <w:t xml:space="preserve">The honest scope of the strengthening. </w:t>
      </w:r>
      <w:r>
        <w:rPr>
          <w:rFonts w:ascii="Times New Roman" w:cs="Times New Roman" w:eastAsia="Times New Roman" w:hAnsi="Times New Roman"/>
          <w:sz w:val="24"/>
          <w:szCs w:val="24"/>
        </w:rPr>
        <w:t xml:space="preserve">What is now derived (within cited standard analysis) is the passage from the discrete locking energy to the continuum stiffness functional, on vortex-free fields, constant included. This does not by itself establish any downstream physical claim that has its own separate assumptions; it removes the heuristic status of the ONE shared step they all use. Where a downstream paper also relies on defect physics, that lies in the separate vortex regime this derivation explicitly excludes.</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6.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Γ-convergence E_a → (K/2)∫|∇θ|² on vortex-free fields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both inequalities established within cited standard analysis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Constant K = J/a (scalar), 2J/a (director)</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fixed by the recovery sequence; confirmed numerically</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O(a²) relative convergence rate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established and numerically confirmed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Necessity of the vortex-free hypothesis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vortex counterexample (finite core-regularised discrete energy; continuum core divergence)</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 / vortex regime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Open — explicitly outside scope; separate homogenization problem</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A note on rigor and independent review</w:t>
            </w:r>
          </w:p>
          <w:p>
            <w:pPr>
              <w:spacing w:after="60"/>
              <w:jc w:val="both"/>
            </w:pPr>
            <w:r>
              <w:rPr>
                <w:rFonts w:ascii="Times New Roman" w:cs="Times New Roman" w:eastAsia="Times New Roman" w:hAnsi="Times New Roman"/>
                <w:sz w:val="22"/>
                <w:szCs w:val="22"/>
              </w:rPr>
              <w:t xml:space="preserve">This paper presents a Γ-convergence DERIVATION at the level of rigor standard in mathematical physics: the two Γ-convergence inequalities are established, and the standard analytical ingredients (interpolation, compactness, lower semicontinuity) are cited from the established literature rather than reproven from first principles. It is deliberately titled a derivation, not a theorem, to set that expectation.</w:t>
            </w:r>
          </w:p>
          <w:p>
            <w:pPr>
              <w:spacing w:after="60"/>
              <w:jc w:val="both"/>
            </w:pPr>
            <w:r>
              <w:rPr>
                <w:rFonts w:ascii="Times New Roman" w:cs="Times New Roman" w:eastAsia="Times New Roman" w:hAnsi="Times New Roman"/>
                <w:sz w:val="22"/>
                <w:szCs w:val="22"/>
              </w:rPr>
              <w:t xml:space="preserve">Before any external release as a cornerstone result, we recommend independent review by an applied mathematician with expertise in Γ-convergence / homogenization, to confirm the analytical framework is complete at the level the word ‘theorem’ would require, or to identify the few additional technical lemmas that would close the gap.</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The central coarse-graining step of the Mesh Programme is now a structured Γ-convergence derivation rather than a heuristic gradient expansion. On vortex-free fields of bounded energy, the discrete endpoint-locking energy Γ-converges, as the lattice spacing tends to zero, to the continuum orientation-stiffness functional (K/2)∫|∇θ|² with K = J/a for the scalar phase field and 2J/a for the director — the corrected constant, not the old 3J/a. Both Γ-convergence inequalities hold, the recovery sequence converges at second order in the lattice spacing, and all three quantitative claims are independently confirmed by direct computation. The one hypothesis the derivation requires — vortex-freeness — is shown to be necessary by an explicit counterexample, and the defect regime it excludes is flagged as a separate problem rather than quietly assumed away. Within these honestly-stated hypotheses, the passage that underlies the programme’s electromagnetism, thermodynamics, and condensed-matter results is no longer merely assumed: it is derived within cited standard analysis, constant and convergence rate included.</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FND-003 [Derived]: </w:t>
      </w:r>
      <w:r>
        <w:t>Gamma-convergence of discrete locking energy to  [benchmark: benchmarks/micromech/gamma_convergence.py]</w:t>
      </w:r>
    </w:p>
    <w:p/>
    <w:p>
      <w:r>
        <w:rPr>
          <w:b/>
        </w:rPr>
        <w:t xml:space="preserve">• FND-004 [Derived]: </w:t>
      </w:r>
      <w:r>
        <w:t>Vortex-free hypothesis is necessary  [benchmark: benchmarks/micromech/gamma_convergence.py]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2026-07-06T15:05:23.743Z</dcterms:created>
  <dcterms:modified xsi:type="dcterms:W3CDTF">2026-07-06T15:05:23.743Z</dcterms:modified>
</cp:coreProperties>
</file>

<file path=docProps/custom.xml><?xml version="1.0" encoding="utf-8"?>
<Properties xmlns="http://schemas.openxmlformats.org/officeDocument/2006/custom-properties" xmlns:vt="http://schemas.openxmlformats.org/officeDocument/2006/docPropsVTypes"/>
</file>