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Lepton Masses from Rope Topology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Koide-Phase Model: Numerical Success, and Its Pinned Failure Mode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mesh framework suggests a topological origin for the charged-lepton mass ratios through a Koide-type phase relation with coefficient (3+Φ) = 4.618034, where Φ is the golden ratio. Used with the measured Weinberg angle, the relation reproduces the lepton mass ratios to within about one percent: μ/e = 205.8 (measured 206.8) and τ/μ = 16.82 (measured 16.82). We report this success and, with equal prominence, its failure mode: with the rope model’s own predicted Weinberg angle the ratios are badly wrong. The result is a numerically striking CONJECTURE conditional on a measured input, not a derivation. All numbers are outputs of the rope_solver / tests computation in this package, not inserted constants; the lepton-ratio caveat below is pinned in the test suite.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Koide-phase relation with coefficient (3+Φ)=4.618 reproduces the charged-lepton mass ratios to ~1% WHEN the measured sin²θ_W is used.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 first-principles derivation. With the model’s own sin²θ_W the ratios fail; the success is conditional on a measured input. Status: DEMOTED 5 September 2026 (KOIDE-WEINBERG, PM-001) to a KEPT COINCIDENCE: the sensitivity to the input angle is 71. See the Disposition section.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The Koide Phase and Its Coefficient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empirical Koide relation among charged-lepton masses is reproduced in a phase parametrisation whose coefficient the mesh framework computes as (3+Φ) = 4.618034, with Φ the golden ratio 1.618034. This coefficient is the model’s structural contribution.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Numerical Result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Evaluated with the measured Weinberg angle sin²θ_W = 0.23122, the relation yields: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200"/>
        <w:gridCol w:w="2260"/>
      </w:tblGrid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Ratio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Rope (measured θ_W)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Experiment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Agreement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μ/e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205.8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206.8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~0.5%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τ/μ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16.82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16.82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~0.04%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τ/e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3462.7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3477.2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~0.4%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color w:val="7B2D26"/>
          <w:sz w:val="24"/>
          <w:szCs w:val="24"/>
        </w:rPr>
        <w:t xml:space="preserve">The pinned honest caveat.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lepton mass ratios come out close to experiment ONLY when the measured Weinberg angle sin²θ_W = 0.23122 is used as input. With the rope model’s OWN predicted value sin²θ_W = 1/(3√2) = 0.2357 — itself about 1.9% from the measured value — the ratios fail badly (μ/e jumps from ~206 to ~1605). The mass-ratio success is therefore CONDITIONAL on an externally measured input the model does not itself reproduce accurately. This is a conjecture with a known failure mode, not a derivation, and it is recorded as such in the test suite.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Disposition (5 September 2026): demoted to a kept coincidence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sensitivity, computed before any demotion was discussed.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Under this paper's exact construction (√m_k proportional to 1 + √2 cos(φ + 2πk/3) with φ = (3+Φ)θ_W, pinned in rope_solver.particles), d ln(m_μ/m_e) / d ln(sin²θ_W) = 71 at the measured angle, by exact algebra with the angle carried as a symbol and confirmed by finite difference. A 1.94% change in the input moves the muon-to-electron ratio by a factor 7.8. Commission KOIDE-WEINBERG (ITEM 6d) had fixed a threshold of 10 before computing: a relation whose output moves seventyfold per unit relative input is a fit to the input, not a prediction. That is exactly what the pinned failure mode (PM-002) had been saying.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dependency path.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chain is Koide's empirical parametrisation (external to the framework) plus the identification φ = C θ_W plus C = 3d₀ + d₁/₂ at level k = 3. The d₁/₂ = Φ part is rigorous; the '3 + 1 T-parity mode count' behind C is conjectural by the construction's own docstring; the identification of the Koide phase with the Weinberg angle is a choice. Three choice points and the sensitivity of 71: the registered verdict is PM-DEMOTE. PM-001 leaves Conjecture grade and is kept as a coincidence; PM-002 stands as the pinned failure. Full record: analysis/KOIDE_WEINBERG_results.md.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What stands, and what the corpus now says.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(3+Φ) coefficient stands as the golden-ratio structure it was derived from; the numerical landing with the measured angle stands as a number. The Koide relation's status in the corpus is 'an observed relation among measured masses, not a rope result'. PM-003 (the lepton problem is a three-level excitation spectrum of one knot) is untouched: it says a relation among levels is the right kind of tool, not that this one is it. The Weinberg-angle estimate this relation depended on (EW-001) was demoted in the same commission; the coupled inconsistency between the two entries is closed.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Koide coefficient (3+Φ) = 4.618 — Derived (from golden-ratio structure).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Lepton ratios to ~1% with MEASURED θ_W: DEMOTED to a kept coincidence (PM-001, 5 September 2026); sensitivity d ln(m_μ/m_e)/d ln(sin²θ_W) = 71.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Ratios with the model’s OWN θ_W — Failed (μ/e ~1605); pinned in tests.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</w:rPr>
        <w:t>Registered Claims in This Paper</w:t>
      </w:r>
    </w:p>
    <w:p>
      <w:r>
        <w:t>Each statement below is traceable to the machine-readable registry (claims.yaml), the corpus's single source of truth. Status labels: Derived (follows from stated mechanics), Modeled (reproduces data with declared inputs), EFT-constrained (bounded by effective-theory limits), Conjecture (proposed, not derived), Open (registered unsolved problem), Failed (falsified, kept as a finding). Where a claim is code-backed, the named benchmark reruns it.</w:t>
      </w:r>
    </w:p>
    <w:p>
      <w:r>
        <w:rPr>
          <w:b/>
        </w:rPr>
        <w:t xml:space="preserve">• PM-001 [Failed: demoted 5 Sep 2026, kept coincidence]: </w:t>
      </w:r>
      <w:r>
        <w:t>Lepton mass ratios via Koide phase</w:t>
      </w:r>
    </w:p>
    <w:p/>
    <w:p>
      <w:r>
        <w:rPr>
          <w:b/>
        </w:rPr>
        <w:t xml:space="preserve">• PM-002 [Failed]: </w:t>
      </w:r>
      <w:r>
        <w:t>Lepton ratios with the model's own Weinberg angle</w:t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2026-07-06T14:07:56.029Z</dcterms:created>
  <dcterms:modified xsi:type="dcterms:W3CDTF">2026-07-06T14:07:56.030Z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