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omments.xml" ContentType="application/vnd.openxmlformats-officedocument.wordprocessingml.comment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80" w:before="240" w:line="276"/>
        <w:jc w:val="center"/>
      </w:pPr>
      <w:r>
        <w:rPr>
          <w:rFonts w:ascii="Times New Roman" w:cs="Times New Roman" w:eastAsia="Times New Roman" w:hAnsi="Times New Roman"/>
          <w:b/>
          <w:bCs/>
          <w:sz w:val="38"/>
          <w:szCs w:val="38"/>
        </w:rPr>
        <w:t xml:space="preserve">Dynamics of Non-Local Rope Correlations</w:t>
      </w:r>
    </w:p>
    <w:p>
      <w:pPr>
        <w:spacing w:after="120" w:before="0" w:line="276"/>
        <w:jc w:val="center"/>
      </w:pPr>
      <w:r>
        <w:rPr>
          <w:rFonts w:ascii="Times New Roman" w:cs="Times New Roman" w:eastAsia="Times New Roman" w:hAnsi="Times New Roman"/>
          <w:b/>
          <w:bCs/>
          <w:sz w:val="23"/>
          <w:szCs w:val="23"/>
        </w:rPr>
        <w:t xml:space="preserve">A Partial Result: How Far the Rope Ontology Reproduces Quantum Correlations, and the Exact Step That Remains</w:t>
      </w:r>
    </w:p>
    <w:p>
      <w:pPr>
        <w:spacing w:after="60" w:before="0" w:line="276"/>
        <w:jc w:val="center"/>
      </w:pPr>
      <w:r>
        <w:rPr>
          <w:rFonts w:ascii="Times New Roman" w:cs="Times New Roman" w:eastAsia="Times New Roman" w:hAnsi="Times New Roman"/>
          <w:sz w:val="22"/>
          <w:szCs w:val="22"/>
        </w:rPr>
        <w:t xml:space="preserve">Mark Palmer · with computational collaboration by Claude (Anthropic)</w:t>
      </w:r>
    </w:p>
    <w:p>
      <w:pPr>
        <w:spacing w:after="60" w:before="0" w:line="276"/>
        <w:jc w:val="center"/>
      </w:pPr>
      <w:r>
        <w:rPr>
          <w:rFonts w:ascii="Times New Roman" w:cs="Times New Roman" w:eastAsia="Times New Roman" w:hAnsi="Times New Roman"/>
          <w:color w:val="666666"/>
          <w:sz w:val="20"/>
          <w:szCs w:val="20"/>
        </w:rPr>
        <w:t xml:space="preserve">Charlotte, NC · palmer100@gmail.com</w:t>
      </w:r>
    </w:p>
    <w:p>
      <w:pPr>
        <w:pBdr>
          <w:bottom w:val="single" w:color="7B2D26" w:sz="6" w:space="1"/>
        </w:pBdr>
        <w:spacing w:after="0" w:before="0"/>
      </w:pPr>
      <w:r>
        <w:rPr>
          <w:sz w:val="22"/>
          <w:szCs w:val="22"/>
        </w:rPr>
        <w:t xml:space="preserve"/>
      </w:r>
    </w:p>
    <w:p>
      <w:pPr>
        <w:spacing w:after="80"/>
      </w:pPr>
      <w:r>
        <w:rPr>
          <w:sz w:val="22"/>
          <w:szCs w:val="22"/>
        </w:rPr>
        <w:t xml:space="preserve"/>
      </w:r>
    </w:p>
    <w:p>
      <w:pPr>
        <w:spacing w:after="160" w:before="0" w:line="276"/>
        <w:jc w:val="both"/>
      </w:pPr>
      <w:r>
        <w:rPr>
          <w:rFonts w:ascii="Times New Roman" w:cs="Times New Roman" w:eastAsia="Times New Roman" w:hAnsi="Times New Roman"/>
          <w:sz w:val="24"/>
          <w:szCs w:val="24"/>
        </w:rPr>
        <w:t xml:space="preserve">Naming note (5 September 2026). This programme is now the Mesh Programme and the theory it develops the mesh framework; 'the rope framework' in earlier revisions reads 'the mesh framework'. 'Rope' remains the name of the two-strand wound object, and the Rope Hypothesis credited to Bill Gaede keeps its name. Identifiers (repository, rope_solver, file names, claim IDs) are unchanged.</w:t>
      </w:r>
    </w:p>
    <w:p>
      <w:pPr>
        <w:pStyle w:val="Heading1"/>
        <w:spacing w:after="160" w:before="360"/>
      </w:pPr>
      <w:r>
        <w:rPr>
          <w:rFonts w:ascii="Times New Roman" w:cs="Times New Roman" w:eastAsia="Times New Roman" w:hAnsi="Times New Roman"/>
          <w:b/>
          <w:bCs/>
          <w:color w:val="1F3864"/>
          <w:sz w:val="28"/>
          <w:szCs w:val="28"/>
        </w:rPr>
        <w:t xml:space="preserve">Abstract</w:t>
      </w:r>
    </w:p>
    <w:p>
      <w:pPr>
        <w:spacing w:after="160" w:before="0" w:line="276"/>
        <w:jc w:val="both"/>
      </w:pPr>
      <w:r>
        <w:rPr>
          <w:rFonts w:ascii="Times New Roman" w:cs="Times New Roman" w:eastAsia="Times New Roman" w:hAnsi="Times New Roman"/>
          <w:sz w:val="24"/>
          <w:szCs w:val="24"/>
        </w:rPr>
        <w:t xml:space="preserve">The quantum-foundations paper established that the rope ontology, if it describes entanglement at all, must be a NON-LOCAL hidden-variable theory, and deferred the central calculation: can rope dynamics reproduce the singlet correlation E(a,b) = −cos(a−b), saturating the Tsirelson bound 2√2, while preserving no-signalling? This paper attempts that calculation and reports a PARTIAL result honestly. We do not claim to have derived quantum mechanics from ropes; we claim to have localised, precisely, the one step on which the question turns. Three things close cleanly. First, a local shared-orientation rope model gives a triangle-wave correlation capped at CHSH = 2 — falsified, exactly as Bell requires. Second, a non-local update model, in which measurement at one end updates the joint two-strand configuration, reproduces the cosine and reaches Tsirelson (numerically 2.83). Third, that model preserves no-signalling exactly: the non-locality lives in the correlations only, never the marginals. One thing does NOT close: the non-local model reaches the quantum value only when the detector couples to the Hopf BASE-sphere (Bloch) angle rather than the spinor fibre angle. The rope geometry supplies both angles; which one the measurement dynamics select is not yet forced by the ontology. We show the entire viability question reduces to this single angle-identification, which is a sharper and more useful outcome than either an unearned success or a vague failure.</w:t>
      </w:r>
    </w:p>
    <w:p>
      <w:pPr>
        <w:spacing w:after="80"/>
      </w:pPr>
      <w:r>
        <w:rPr>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7B2D26" w:sz="4"/>
              <w:left w:val="single" w:color="7B2D26" w:sz="18"/>
              <w:bottom w:val="single" w:color="7B2D26" w:sz="4"/>
              <w:right w:val="single" w:color="7B2D26" w:sz="4"/>
            </w:tcBorders>
            <w:shd w:fill="F2F5F9" w:val="clear"/>
            <w:tcMar>
              <w:top w:type="dxa" w:w="120"/>
              <w:left w:type="dxa" w:w="200"/>
              <w:bottom w:type="dxa" w:w="120"/>
              <w:right w:type="dxa" w:w="160"/>
            </w:tcMar>
          </w:tcPr>
          <w:p>
            <w:pPr>
              <w:spacing w:after="60"/>
            </w:pPr>
            <w:r>
              <w:rPr>
                <w:rFonts w:ascii="Times New Roman" w:cs="Times New Roman" w:eastAsia="Times New Roman" w:hAnsi="Times New Roman"/>
                <w:b/>
                <w:bCs/>
                <w:color w:val="7B2D26"/>
                <w:sz w:val="22"/>
                <w:szCs w:val="22"/>
              </w:rPr>
              <w:t xml:space="preserve">The result in one paragraph</w:t>
            </w:r>
          </w:p>
          <w:p>
            <w:pPr>
              <w:spacing w:after="60"/>
              <w:jc w:val="both"/>
            </w:pPr>
            <w:r>
              <w:rPr>
                <w:rFonts w:ascii="Times New Roman" w:cs="Times New Roman" w:eastAsia="Times New Roman" w:hAnsi="Times New Roman"/>
                <w:sz w:val="22"/>
                <w:szCs w:val="22"/>
              </w:rPr>
              <w:t xml:space="preserve">CLOSES: (i) local rope model falsified (CHSH ≤ 2, triangle wave); (ii) a non-local joint-update model reproduces −cos(a−b) and saturates Tsirelson (2.83); (iii) no-signalling holds exactly for the update rule.</w:t>
            </w:r>
          </w:p>
          <w:p>
            <w:pPr>
              <w:spacing w:after="60"/>
              <w:jc w:val="both"/>
            </w:pPr>
            <w:r>
              <w:rPr>
                <w:rFonts w:ascii="Times New Roman" w:cs="Times New Roman" w:eastAsia="Times New Roman" w:hAnsi="Times New Roman"/>
                <w:sz w:val="22"/>
                <w:szCs w:val="22"/>
              </w:rPr>
              <w:t xml:space="preserve">DOES NOT CLOSE: the quantum value requires the detector to couple to the Bloch (base-sphere) angle with a 1:1 map; the rope dynamics do not yet FORCE this choice over the competing spinor-fibre angle. The viability of the rope model as a theory of quantum correlations reduces entirely to this one identification. We state it as open, not solved.</w:t>
            </w:r>
          </w:p>
        </w:tc>
      </w:tr>
    </w:tbl>
    <w:p>
      <w:pPr>
        <w:spacing w:after="80"/>
      </w:pPr>
      <w:r>
        <w:rPr>
          <w:sz w:val="22"/>
          <w:szCs w:val="22"/>
        </w:rPr>
        <w:t xml:space="preserve"/>
      </w:r>
    </w:p>
    <w:p>
      <w:pPr>
        <w:pBdr>
          <w:bottom w:val="single" w:color="7B2D26" w:sz="6" w:space="1"/>
        </w:pBdr>
        <w:spacing w:after="0" w:before="0"/>
      </w:pPr>
      <w:r>
        <w:rPr>
          <w:sz w:val="22"/>
          <w:szCs w:val="22"/>
        </w:rPr>
        <w:t xml:space="preserve"/>
      </w:r>
    </w:p>
    <w:p>
      <w:pPr>
        <w:spacing w:after="80"/>
      </w:pPr>
      <w:r>
        <w:rPr>
          <w:sz w:val="22"/>
          <w:szCs w:val="22"/>
        </w:rPr>
        <w:t xml:space="preserve"/>
      </w:r>
    </w:p>
    <w:p>
      <w:pPr>
        <w:pStyle w:val="Heading1"/>
        <w:spacing w:after="160" w:before="360"/>
      </w:pPr>
      <w:r>
        <w:rPr>
          <w:rFonts w:ascii="Times New Roman" w:cs="Times New Roman" w:eastAsia="Times New Roman" w:hAnsi="Times New Roman"/>
          <w:b/>
          <w:bCs/>
          <w:color w:val="1F3864"/>
          <w:sz w:val="28"/>
          <w:szCs w:val="28"/>
        </w:rPr>
        <w:t xml:space="preserve">1.  The Deferred Calculation</w:t>
      </w:r>
    </w:p>
    <w:p>
      <w:pPr>
        <w:spacing w:after="160" w:before="0" w:line="276"/>
        <w:jc w:val="both"/>
      </w:pPr>
      <w:r>
        <w:rPr>
          <w:rFonts w:ascii="Times New Roman" w:cs="Times New Roman" w:eastAsia="Times New Roman" w:hAnsi="Times New Roman"/>
          <w:sz w:val="24"/>
          <w:szCs w:val="24"/>
        </w:rPr>
        <w:t xml:space="preserve">The quantum-foundations paper reached a forced conclusion: if the rope model describes entangled pairs and the imbalance is real and definite, then it is a hidden-variable theory; Bell plus the loophole-free experiments rule out the LOCAL version; and retaining realism and measurement-independence leaves only a NON-LOCAL hidden-variable theory. That paper was careful to say it had identified the required ontology but did NOT possess the dynamical law, and it named the missing piece: a mechanism that reproduces the cosine correlation at the Tsirelson bound while preserving no-signalling. This paper attempts exactly that, and reports what happens.</w:t>
      </w:r>
    </w:p>
    <w:p>
      <w:pPr>
        <w:spacing w:after="160" w:before="0" w:line="276"/>
        <w:jc w:val="both"/>
      </w:pPr>
      <w:r>
        <w:rPr>
          <w:rFonts w:ascii="Times New Roman" w:cs="Times New Roman" w:eastAsia="Times New Roman" w:hAnsi="Times New Roman"/>
          <w:sz w:val="24"/>
          <w:szCs w:val="24"/>
        </w:rPr>
        <w:t xml:space="preserve">We follow the programme’s established method: compute first, and report the result even when it is a partial one. As it turns out, the honest outcome here is neither success nor failure but a sharp LOCALISATION — the whole question is driven into a single, well-defined step. We regard that as the paper’s contribution: it converts ‘can ropes do quantum mechanics?’ into one precise, potentially decidable question.</w:t>
      </w:r>
    </w:p>
    <w:p>
      <w:pPr>
        <w:spacing w:after="80"/>
      </w:pPr>
      <w:r>
        <w:rPr>
          <w:sz w:val="22"/>
          <w:szCs w:val="22"/>
        </w:rPr>
        <w:t xml:space="preserve"/>
      </w:r>
    </w:p>
    <w:p>
      <w:pPr>
        <w:pStyle w:val="Heading1"/>
        <w:spacing w:after="160" w:before="360"/>
      </w:pPr>
      <w:r>
        <w:rPr>
          <w:rFonts w:ascii="Times New Roman" w:cs="Times New Roman" w:eastAsia="Times New Roman" w:hAnsi="Times New Roman"/>
          <w:b/>
          <w:bCs/>
          <w:color w:val="1F3864"/>
          <w:sz w:val="28"/>
          <w:szCs w:val="28"/>
        </w:rPr>
        <w:t xml:space="preserve">2.  The Local Baseline, Made Concrete</w:t>
      </w:r>
    </w:p>
    <w:p>
      <w:pPr>
        <w:spacing w:after="160" w:before="0" w:line="276"/>
        <w:jc w:val="both"/>
      </w:pPr>
      <w:r>
        <w:rPr>
          <w:rFonts w:ascii="Times New Roman" w:cs="Times New Roman" w:eastAsia="Times New Roman" w:hAnsi="Times New Roman"/>
          <w:sz w:val="24"/>
          <w:szCs w:val="24"/>
        </w:rPr>
        <w:t xml:space="preserve">Before invoking non-locality we fix what a LOCAL rope model can do, so the gap non-locality must close is explicit. In a local model each detector outcome depends only on its own setting and a shared hidden orientation λ established at pair creation:</w:t>
      </w:r>
    </w:p>
    <w:p>
      <w:pPr>
        <w:spacing w:after="140" w:before="140"/>
        <w:jc w:val="center"/>
      </w:pPr>
      <w:r>
        <w:rPr>
          <w:rFonts w:ascii="Courier New" w:cs="Courier New" w:eastAsia="Courier New" w:hAnsi="Courier New"/>
          <w:sz w:val="22"/>
          <w:szCs w:val="22"/>
        </w:rPr>
        <w:t xml:space="preserve">A(a,λ) = sign cos(a−λ) ,   B(b,λ) = −sign cos(b−λ)</w:t>
      </w:r>
      <w:r>
        <w:rPr>
          <w:rFonts w:ascii="Times New Roman" w:cs="Times New Roman" w:eastAsia="Times New Roman" w:hAnsi="Times New Roman"/>
          <w:color w:val="666666"/>
          <w:sz w:val="20"/>
          <w:szCs w:val="20"/>
        </w:rPr>
        <w:t xml:space="preserve">   (2.1)</w:t>
      </w:r>
    </w:p>
    <w:p>
      <w:pPr>
        <w:spacing w:after="160" w:before="0" w:line="276"/>
        <w:jc w:val="both"/>
      </w:pPr>
      <w:r>
        <w:rPr>
          <w:rFonts w:ascii="Times New Roman" w:cs="Times New Roman" w:eastAsia="Times New Roman" w:hAnsi="Times New Roman"/>
          <w:sz w:val="24"/>
          <w:szCs w:val="24"/>
        </w:rPr>
        <w:t xml:space="preserve">Averaging over λ uniform on the circle gives, by direct computation, a TRIANGLE-WAVE correlation — linear in the angle — not the cosine, and a CHSH value that reaches but cannot exceed the classical bound: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3200"/>
        <w:gridCol w:w="3160"/>
      </w:tblGrid>
      <w:tr>
        <w:tc>
          <w:tcPr>
            <w:tcW w:type="dxa" w:w="3000"/>
            <w:tcBorders>
              <w:top w:val="single" w:color="BBBBBB" w:sz="1"/>
              <w:left w:val="single" w:color="BBBBBB" w:sz="1"/>
              <w:bottom w:val="single" w:color="BBBBBB" w:sz="1"/>
              <w:right w:val="single" w:color="BBBBBB" w:sz="1"/>
            </w:tcBorders>
            <w:shd w:fill="D6E4F0" w:val="clear"/>
            <w:tcMar>
              <w:top w:type="dxa" w:w="80"/>
              <w:left w:type="dxa" w:w="120"/>
              <w:bottom w:type="dxa" w:w="80"/>
              <w:right w:type="dxa" w:w="120"/>
            </w:tcMar>
          </w:tcPr>
          <w:p>
            <w:pPr>
              <w:jc w:val="both"/>
            </w:pPr>
            <w:r>
              <w:rPr>
                <w:rFonts w:ascii="Times New Roman" w:cs="Times New Roman" w:eastAsia="Times New Roman" w:hAnsi="Times New Roman"/>
                <w:b/>
                <w:bCs/>
                <w:sz w:val="22"/>
                <w:szCs w:val="22"/>
              </w:rPr>
              <w:t xml:space="preserve">Quantity</w:t>
            </w:r>
          </w:p>
        </w:tc>
        <w:tc>
          <w:tcPr>
            <w:tcW w:type="dxa" w:w="3200"/>
            <w:tcBorders>
              <w:top w:val="single" w:color="BBBBBB" w:sz="1"/>
              <w:left w:val="single" w:color="BBBBBB" w:sz="1"/>
              <w:bottom w:val="single" w:color="BBBBBB" w:sz="1"/>
              <w:right w:val="single" w:color="BBBBBB" w:sz="1"/>
            </w:tcBorders>
            <w:shd w:fill="D6E4F0" w:val="clear"/>
            <w:tcMar>
              <w:top w:type="dxa" w:w="80"/>
              <w:left w:type="dxa" w:w="120"/>
              <w:bottom w:type="dxa" w:w="80"/>
              <w:right w:type="dxa" w:w="120"/>
            </w:tcMar>
          </w:tcPr>
          <w:p>
            <w:pPr>
              <w:jc w:val="both"/>
            </w:pPr>
            <w:r>
              <w:rPr>
                <w:rFonts w:ascii="Times New Roman" w:cs="Times New Roman" w:eastAsia="Times New Roman" w:hAnsi="Times New Roman"/>
                <w:b/>
                <w:bCs/>
                <w:sz w:val="22"/>
                <w:szCs w:val="22"/>
              </w:rPr>
              <w:t xml:space="preserve">Local rope model</w:t>
            </w:r>
          </w:p>
        </w:tc>
        <w:tc>
          <w:tcPr>
            <w:tcW w:type="dxa" w:w="3160"/>
            <w:tcBorders>
              <w:top w:val="single" w:color="BBBBBB" w:sz="1"/>
              <w:left w:val="single" w:color="BBBBBB" w:sz="1"/>
              <w:bottom w:val="single" w:color="BBBBBB" w:sz="1"/>
              <w:right w:val="single" w:color="BBBBBB" w:sz="1"/>
            </w:tcBorders>
            <w:shd w:fill="D6E4F0" w:val="clear"/>
            <w:tcMar>
              <w:top w:type="dxa" w:w="80"/>
              <w:left w:type="dxa" w:w="120"/>
              <w:bottom w:type="dxa" w:w="80"/>
              <w:right w:type="dxa" w:w="120"/>
            </w:tcMar>
          </w:tcPr>
          <w:p>
            <w:pPr>
              <w:jc w:val="both"/>
            </w:pPr>
            <w:r>
              <w:rPr>
                <w:rFonts w:ascii="Times New Roman" w:cs="Times New Roman" w:eastAsia="Times New Roman" w:hAnsi="Times New Roman"/>
                <w:b/>
                <w:bCs/>
                <w:sz w:val="22"/>
                <w:szCs w:val="22"/>
              </w:rPr>
              <w:t xml:space="preserve">Quantum target</w:t>
            </w:r>
          </w:p>
        </w:tc>
      </w:tr>
      <w:tr>
        <w:tc>
          <w:tcPr>
            <w:tcW w:type="dxa" w:w="3000"/>
            <w:tcBorders>
              <w:top w:val="single" w:color="BBBBBB" w:sz="1"/>
              <w:left w:val="single" w:color="BBBBBB" w:sz="1"/>
              <w:bottom w:val="single" w:color="BBBBBB" w:sz="1"/>
              <w:right w:val="single" w:color="BBBBBB" w:sz="1"/>
            </w:tcBorders>
            <w:tcMar>
              <w:top w:type="dxa" w:w="80"/>
              <w:left w:type="dxa" w:w="120"/>
              <w:bottom w:type="dxa" w:w="80"/>
              <w:right w:type="dxa" w:w="120"/>
            </w:tcMar>
          </w:tcPr>
          <w:p>
            <w:pPr>
              <w:jc w:val="both"/>
            </w:pPr>
            <w:r>
              <w:rPr>
                <w:rFonts w:ascii="Times New Roman" w:cs="Times New Roman" w:eastAsia="Times New Roman" w:hAnsi="Times New Roman"/>
                <w:b w:val="false"/>
                <w:bCs w:val="false"/>
                <w:sz w:val="20"/>
                <w:szCs w:val="20"/>
              </w:rPr>
              <w:t xml:space="preserve">Correlation E(a,b)</w:t>
            </w:r>
          </w:p>
        </w:tc>
        <w:tc>
          <w:tcPr>
            <w:tcW w:type="dxa" w:w="3200"/>
            <w:tcBorders>
              <w:top w:val="single" w:color="BBBBBB" w:sz="1"/>
              <w:left w:val="single" w:color="BBBBBB" w:sz="1"/>
              <w:bottom w:val="single" w:color="BBBBBB" w:sz="1"/>
              <w:right w:val="single" w:color="BBBBBB" w:sz="1"/>
            </w:tcBorders>
            <w:tcMar>
              <w:top w:type="dxa" w:w="80"/>
              <w:left w:type="dxa" w:w="120"/>
              <w:bottom w:type="dxa" w:w="80"/>
              <w:right w:type="dxa" w:w="120"/>
            </w:tcMar>
          </w:tcPr>
          <w:p>
            <w:pPr>
              <w:jc w:val="both"/>
            </w:pPr>
            <w:r>
              <w:rPr>
                <w:rFonts w:ascii="Times New Roman" w:cs="Times New Roman" w:eastAsia="Times New Roman" w:hAnsi="Times New Roman"/>
                <w:b w:val="false"/>
                <w:bCs w:val="false"/>
                <w:sz w:val="20"/>
                <w:szCs w:val="20"/>
              </w:rPr>
              <w:t xml:space="preserve">triangle wave (linear in a−b)</w:t>
            </w:r>
          </w:p>
        </w:tc>
        <w:tc>
          <w:tcPr>
            <w:tcW w:type="dxa" w:w="3160"/>
            <w:tcBorders>
              <w:top w:val="single" w:color="BBBBBB" w:sz="1"/>
              <w:left w:val="single" w:color="BBBBBB" w:sz="1"/>
              <w:bottom w:val="single" w:color="BBBBBB" w:sz="1"/>
              <w:right w:val="single" w:color="BBBBBB" w:sz="1"/>
            </w:tcBorders>
            <w:tcMar>
              <w:top w:type="dxa" w:w="80"/>
              <w:left w:type="dxa" w:w="120"/>
              <w:bottom w:type="dxa" w:w="80"/>
              <w:right w:type="dxa" w:w="120"/>
            </w:tcMar>
          </w:tcPr>
          <w:p>
            <w:pPr>
              <w:jc w:val="both"/>
            </w:pPr>
            <w:r>
              <w:rPr>
                <w:rFonts w:ascii="Times New Roman" w:cs="Times New Roman" w:eastAsia="Times New Roman" w:hAnsi="Times New Roman"/>
                <w:b w:val="false"/>
                <w:bCs w:val="false"/>
                <w:sz w:val="20"/>
                <w:szCs w:val="20"/>
              </w:rPr>
              <w:t xml:space="preserve">−cos(a−b)</w:t>
            </w:r>
          </w:p>
        </w:tc>
      </w:tr>
      <w:tr>
        <w:tc>
          <w:tcPr>
            <w:tcW w:type="dxa" w:w="3000"/>
            <w:tcBorders>
              <w:top w:val="single" w:color="BBBBBB" w:sz="1"/>
              <w:left w:val="single" w:color="BBBBBB" w:sz="1"/>
              <w:bottom w:val="single" w:color="BBBBBB" w:sz="1"/>
              <w:right w:val="single" w:color="BBBBBB" w:sz="1"/>
            </w:tcBorders>
            <w:tcMar>
              <w:top w:type="dxa" w:w="80"/>
              <w:left w:type="dxa" w:w="120"/>
              <w:bottom w:type="dxa" w:w="80"/>
              <w:right w:type="dxa" w:w="120"/>
            </w:tcMar>
          </w:tcPr>
          <w:p>
            <w:pPr>
              <w:jc w:val="both"/>
            </w:pPr>
            <w:r>
              <w:rPr>
                <w:rFonts w:ascii="Times New Roman" w:cs="Times New Roman" w:eastAsia="Times New Roman" w:hAnsi="Times New Roman"/>
                <w:b w:val="false"/>
                <w:bCs w:val="false"/>
                <w:sz w:val="20"/>
                <w:szCs w:val="20"/>
              </w:rPr>
              <w:t xml:space="preserve">Max |E − (−cos)|</w:t>
            </w:r>
          </w:p>
        </w:tc>
        <w:tc>
          <w:tcPr>
            <w:tcW w:type="dxa" w:w="3200"/>
            <w:tcBorders>
              <w:top w:val="single" w:color="BBBBBB" w:sz="1"/>
              <w:left w:val="single" w:color="BBBBBB" w:sz="1"/>
              <w:bottom w:val="single" w:color="BBBBBB" w:sz="1"/>
              <w:right w:val="single" w:color="BBBBBB" w:sz="1"/>
            </w:tcBorders>
            <w:tcMar>
              <w:top w:type="dxa" w:w="80"/>
              <w:left w:type="dxa" w:w="120"/>
              <w:bottom w:type="dxa" w:w="80"/>
              <w:right w:type="dxa" w:w="120"/>
            </w:tcMar>
          </w:tcPr>
          <w:p>
            <w:pPr>
              <w:jc w:val="both"/>
            </w:pPr>
            <w:r>
              <w:rPr>
                <w:rFonts w:ascii="Times New Roman" w:cs="Times New Roman" w:eastAsia="Times New Roman" w:hAnsi="Times New Roman"/>
                <w:b w:val="false"/>
                <w:bCs w:val="false"/>
                <w:sz w:val="20"/>
                <w:szCs w:val="20"/>
              </w:rPr>
              <w:t xml:space="preserve">≈ 0.21 (at 45°)</w:t>
            </w:r>
          </w:p>
        </w:tc>
        <w:tc>
          <w:tcPr>
            <w:tcW w:type="dxa" w:w="3160"/>
            <w:tcBorders>
              <w:top w:val="single" w:color="BBBBBB" w:sz="1"/>
              <w:left w:val="single" w:color="BBBBBB" w:sz="1"/>
              <w:bottom w:val="single" w:color="BBBBBB" w:sz="1"/>
              <w:right w:val="single" w:color="BBBBBB" w:sz="1"/>
            </w:tcBorders>
            <w:tcMar>
              <w:top w:type="dxa" w:w="80"/>
              <w:left w:type="dxa" w:w="120"/>
              <w:bottom w:type="dxa" w:w="80"/>
              <w:right w:type="dxa" w:w="120"/>
            </w:tcMar>
          </w:tcPr>
          <w:p>
            <w:pPr>
              <w:jc w:val="both"/>
            </w:pPr>
            <w:r>
              <w:rPr>
                <w:rFonts w:ascii="Times New Roman" w:cs="Times New Roman" w:eastAsia="Times New Roman" w:hAnsi="Times New Roman"/>
                <w:b w:val="false"/>
                <w:bCs w:val="false"/>
                <w:sz w:val="20"/>
                <w:szCs w:val="20"/>
              </w:rPr>
              <w:t xml:space="preserve">0</w:t>
            </w:r>
          </w:p>
        </w:tc>
      </w:tr>
      <w:tr>
        <w:tc>
          <w:tcPr>
            <w:tcW w:type="dxa" w:w="3000"/>
            <w:tcBorders>
              <w:top w:val="single" w:color="BBBBBB" w:sz="1"/>
              <w:left w:val="single" w:color="BBBBBB" w:sz="1"/>
              <w:bottom w:val="single" w:color="BBBBBB" w:sz="1"/>
              <w:right w:val="single" w:color="BBBBBB" w:sz="1"/>
            </w:tcBorders>
            <w:tcMar>
              <w:top w:type="dxa" w:w="80"/>
              <w:left w:type="dxa" w:w="120"/>
              <w:bottom w:type="dxa" w:w="80"/>
              <w:right w:type="dxa" w:w="120"/>
            </w:tcMar>
          </w:tcPr>
          <w:p>
            <w:pPr>
              <w:jc w:val="both"/>
            </w:pPr>
            <w:r>
              <w:rPr>
                <w:rFonts w:ascii="Times New Roman" w:cs="Times New Roman" w:eastAsia="Times New Roman" w:hAnsi="Times New Roman"/>
                <w:b w:val="false"/>
                <w:bCs w:val="false"/>
                <w:sz w:val="20"/>
                <w:szCs w:val="20"/>
              </w:rPr>
              <w:t xml:space="preserve">CHSH S</w:t>
            </w:r>
          </w:p>
        </w:tc>
        <w:tc>
          <w:tcPr>
            <w:tcW w:type="dxa" w:w="3200"/>
            <w:tcBorders>
              <w:top w:val="single" w:color="BBBBBB" w:sz="1"/>
              <w:left w:val="single" w:color="BBBBBB" w:sz="1"/>
              <w:bottom w:val="single" w:color="BBBBBB" w:sz="1"/>
              <w:right w:val="single" w:color="BBBBBB" w:sz="1"/>
            </w:tcBorders>
            <w:tcMar>
              <w:top w:type="dxa" w:w="80"/>
              <w:left w:type="dxa" w:w="120"/>
              <w:bottom w:type="dxa" w:w="80"/>
              <w:right w:type="dxa" w:w="120"/>
            </w:tcMar>
          </w:tcPr>
          <w:p>
            <w:pPr>
              <w:jc w:val="both"/>
            </w:pPr>
            <w:r>
              <w:rPr>
                <w:rFonts w:ascii="Times New Roman" w:cs="Times New Roman" w:eastAsia="Times New Roman" w:hAnsi="Times New Roman"/>
                <w:b w:val="false"/>
                <w:bCs w:val="false"/>
                <w:sz w:val="20"/>
                <w:szCs w:val="20"/>
              </w:rPr>
              <w:t xml:space="preserve">2.00 (numerically 2.00)</w:t>
            </w:r>
          </w:p>
        </w:tc>
        <w:tc>
          <w:tcPr>
            <w:tcW w:type="dxa" w:w="3160"/>
            <w:tcBorders>
              <w:top w:val="single" w:color="BBBBBB" w:sz="1"/>
              <w:left w:val="single" w:color="BBBBBB" w:sz="1"/>
              <w:bottom w:val="single" w:color="BBBBBB" w:sz="1"/>
              <w:right w:val="single" w:color="BBBBBB" w:sz="1"/>
            </w:tcBorders>
            <w:tcMar>
              <w:top w:type="dxa" w:w="80"/>
              <w:left w:type="dxa" w:w="120"/>
              <w:bottom w:type="dxa" w:w="80"/>
              <w:right w:type="dxa" w:w="120"/>
            </w:tcMar>
          </w:tcPr>
          <w:p>
            <w:pPr>
              <w:jc w:val="both"/>
            </w:pPr>
            <w:r>
              <w:rPr>
                <w:rFonts w:ascii="Times New Roman" w:cs="Times New Roman" w:eastAsia="Times New Roman" w:hAnsi="Times New Roman"/>
                <w:b w:val="false"/>
                <w:bCs w:val="false"/>
                <w:sz w:val="20"/>
                <w:szCs w:val="20"/>
              </w:rPr>
              <w:t xml:space="preserve">2√2 ≈ 2.83</w:t>
            </w:r>
          </w:p>
        </w:tc>
      </w:tr>
    </w:tbl>
    <w:p>
      <w:pPr>
        <w:spacing w:after="160" w:before="0" w:line="276"/>
        <w:jc w:val="both"/>
      </w:pPr>
      <w:r>
        <w:rPr>
          <w:rFonts w:ascii="Times New Roman" w:cs="Times New Roman" w:eastAsia="Times New Roman" w:hAnsi="Times New Roman"/>
          <w:sz w:val="24"/>
          <w:szCs w:val="24"/>
        </w:rPr>
        <w:t xml:space="preserve">This is Bell’s theorem made concrete in the rope picture: a local shared-orientation model is falsified by the same experiments that falsify all local hidden-variable theories. The task for non-locality is now sharp — turn the triangle wave into a cosine, and push CHSH from 2 toward 2√2, without letting the marginals carry a signal.</w:t>
      </w:r>
    </w:p>
    <w:p>
      <w:pPr>
        <w:spacing w:after="80"/>
      </w:pPr>
      <w:r>
        <w:rPr>
          <w:sz w:val="22"/>
          <w:szCs w:val="22"/>
        </w:rPr>
        <w:t xml:space="preserve"/>
      </w:r>
    </w:p>
    <w:p>
      <w:pPr>
        <w:pStyle w:val="Heading1"/>
        <w:spacing w:after="160" w:before="360"/>
      </w:pPr>
      <w:r>
        <w:rPr>
          <w:rFonts w:ascii="Times New Roman" w:cs="Times New Roman" w:eastAsia="Times New Roman" w:hAnsi="Times New Roman"/>
          <w:b/>
          <w:bCs/>
          <w:color w:val="1F3864"/>
          <w:sz w:val="28"/>
          <w:szCs w:val="28"/>
        </w:rPr>
        <w:t xml:space="preserve">3.  A Non-Local Update Model</w:t>
      </w:r>
    </w:p>
    <w:p>
      <w:pPr>
        <w:spacing w:after="160" w:before="0" w:line="276"/>
        <w:jc w:val="both"/>
      </w:pPr>
      <w:r>
        <w:rPr>
          <w:rFonts w:ascii="Times New Roman" w:cs="Times New Roman" w:eastAsia="Times New Roman" w:hAnsi="Times New Roman"/>
          <w:sz w:val="24"/>
          <w:szCs w:val="24"/>
        </w:rPr>
        <w:t xml:space="preserve">The rope ontology of the foundations paper is specific: an entangled pair is a SINGLE connected topological configuration under a persistent global constraint, and measurement at one end UPDATES the joint state — constrains it, does not causally act on it. We build the minimal model with that structure. Measurement at A, with setting a, yields an outcome and updates the shared configuration; B’s outcome is then drawn from the conditional distribution of the UPDATED joint state, which depends on both b and (through the update) a.</w:t>
      </w:r>
    </w:p>
    <w:p>
      <w:pPr>
        <w:spacing w:after="160" w:before="0" w:line="276"/>
        <w:jc w:val="both"/>
      </w:pPr>
      <w:r>
        <w:rPr>
          <w:rFonts w:ascii="Times New Roman" w:cs="Times New Roman" w:eastAsia="Times New Roman" w:hAnsi="Times New Roman"/>
          <w:sz w:val="24"/>
          <w:szCs w:val="24"/>
        </w:rPr>
        <w:t xml:space="preserve">With the conditional probability that B is anti-correlated with A taken to be the squared spinor overlap of the two settings,</w:t>
      </w:r>
    </w:p>
    <w:p>
      <w:pPr>
        <w:spacing w:after="140" w:before="140"/>
        <w:jc w:val="center"/>
      </w:pPr>
      <w:r>
        <w:rPr>
          <w:rFonts w:ascii="Courier New" w:cs="Courier New" w:eastAsia="Courier New" w:hAnsi="Courier New"/>
          <w:sz w:val="22"/>
          <w:szCs w:val="22"/>
        </w:rPr>
        <w:t xml:space="preserve">P(B = −A | a, b) = cos²((a−b)/2)</w:t>
      </w:r>
      <w:r>
        <w:rPr>
          <w:rFonts w:ascii="Times New Roman" w:cs="Times New Roman" w:eastAsia="Times New Roman" w:hAnsi="Times New Roman"/>
          <w:color w:val="666666"/>
          <w:sz w:val="20"/>
          <w:szCs w:val="20"/>
        </w:rPr>
        <w:t xml:space="preserve">   (3.1)</w:t>
      </w:r>
    </w:p>
    <w:p>
      <w:pPr>
        <w:spacing w:after="160" w:before="0" w:line="276"/>
        <w:jc w:val="both"/>
      </w:pPr>
      <w:r>
        <w:rPr>
          <w:rFonts w:ascii="Times New Roman" w:cs="Times New Roman" w:eastAsia="Times New Roman" w:hAnsi="Times New Roman"/>
          <w:sz w:val="24"/>
          <w:szCs w:val="24"/>
        </w:rPr>
        <w:t xml:space="preserve">the model reproduces the quantum correlation and saturates the Tsirelson bound, verified by direct simulation: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3360"/>
        <w:gridCol w:w="3000"/>
      </w:tblGrid>
      <w:tr>
        <w:tc>
          <w:tcPr>
            <w:tcW w:type="dxa" w:w="3000"/>
            <w:tcBorders>
              <w:top w:val="single" w:color="BBBBBB" w:sz="1"/>
              <w:left w:val="single" w:color="BBBBBB" w:sz="1"/>
              <w:bottom w:val="single" w:color="BBBBBB" w:sz="1"/>
              <w:right w:val="single" w:color="BBBBBB" w:sz="1"/>
            </w:tcBorders>
            <w:shd w:fill="D6E4F0" w:val="clear"/>
            <w:tcMar>
              <w:top w:type="dxa" w:w="80"/>
              <w:left w:type="dxa" w:w="120"/>
              <w:bottom w:type="dxa" w:w="80"/>
              <w:right w:type="dxa" w:w="120"/>
            </w:tcMar>
          </w:tcPr>
          <w:p>
            <w:pPr>
              <w:jc w:val="both"/>
            </w:pPr>
            <w:r>
              <w:rPr>
                <w:rFonts w:ascii="Times New Roman" w:cs="Times New Roman" w:eastAsia="Times New Roman" w:hAnsi="Times New Roman"/>
                <w:b/>
                <w:bCs/>
                <w:sz w:val="22"/>
                <w:szCs w:val="22"/>
              </w:rPr>
              <w:t xml:space="preserve">Quantity</w:t>
            </w:r>
          </w:p>
        </w:tc>
        <w:tc>
          <w:tcPr>
            <w:tcW w:type="dxa" w:w="3360"/>
            <w:tcBorders>
              <w:top w:val="single" w:color="BBBBBB" w:sz="1"/>
              <w:left w:val="single" w:color="BBBBBB" w:sz="1"/>
              <w:bottom w:val="single" w:color="BBBBBB" w:sz="1"/>
              <w:right w:val="single" w:color="BBBBBB" w:sz="1"/>
            </w:tcBorders>
            <w:shd w:fill="D6E4F0" w:val="clear"/>
            <w:tcMar>
              <w:top w:type="dxa" w:w="80"/>
              <w:left w:type="dxa" w:w="120"/>
              <w:bottom w:type="dxa" w:w="80"/>
              <w:right w:type="dxa" w:w="120"/>
            </w:tcMar>
          </w:tcPr>
          <w:p>
            <w:pPr>
              <w:jc w:val="both"/>
            </w:pPr>
            <w:r>
              <w:rPr>
                <w:rFonts w:ascii="Times New Roman" w:cs="Times New Roman" w:eastAsia="Times New Roman" w:hAnsi="Times New Roman"/>
                <w:b/>
                <w:bCs/>
                <w:sz w:val="22"/>
                <w:szCs w:val="22"/>
              </w:rPr>
              <w:t xml:space="preserve">Non-local update model</w:t>
            </w:r>
          </w:p>
        </w:tc>
        <w:tc>
          <w:tcPr>
            <w:tcW w:type="dxa" w:w="3000"/>
            <w:tcBorders>
              <w:top w:val="single" w:color="BBBBBB" w:sz="1"/>
              <w:left w:val="single" w:color="BBBBBB" w:sz="1"/>
              <w:bottom w:val="single" w:color="BBBBBB" w:sz="1"/>
              <w:right w:val="single" w:color="BBBBBB" w:sz="1"/>
            </w:tcBorders>
            <w:shd w:fill="D6E4F0" w:val="clear"/>
            <w:tcMar>
              <w:top w:type="dxa" w:w="80"/>
              <w:left w:type="dxa" w:w="120"/>
              <w:bottom w:type="dxa" w:w="80"/>
              <w:right w:type="dxa" w:w="120"/>
            </w:tcMar>
          </w:tcPr>
          <w:p>
            <w:pPr>
              <w:jc w:val="both"/>
            </w:pPr>
            <w:r>
              <w:rPr>
                <w:rFonts w:ascii="Times New Roman" w:cs="Times New Roman" w:eastAsia="Times New Roman" w:hAnsi="Times New Roman"/>
                <w:b/>
                <w:bCs/>
                <w:sz w:val="22"/>
                <w:szCs w:val="22"/>
              </w:rPr>
              <w:t xml:space="preserve">Quantum target</w:t>
            </w:r>
          </w:p>
        </w:tc>
      </w:tr>
      <w:tr>
        <w:tc>
          <w:tcPr>
            <w:tcW w:type="dxa" w:w="3000"/>
            <w:tcBorders>
              <w:top w:val="single" w:color="BBBBBB" w:sz="1"/>
              <w:left w:val="single" w:color="BBBBBB" w:sz="1"/>
              <w:bottom w:val="single" w:color="BBBBBB" w:sz="1"/>
              <w:right w:val="single" w:color="BBBBBB" w:sz="1"/>
            </w:tcBorders>
            <w:tcMar>
              <w:top w:type="dxa" w:w="80"/>
              <w:left w:type="dxa" w:w="120"/>
              <w:bottom w:type="dxa" w:w="80"/>
              <w:right w:type="dxa" w:w="120"/>
            </w:tcMar>
          </w:tcPr>
          <w:p>
            <w:pPr>
              <w:jc w:val="both"/>
            </w:pPr>
            <w:r>
              <w:rPr>
                <w:rFonts w:ascii="Times New Roman" w:cs="Times New Roman" w:eastAsia="Times New Roman" w:hAnsi="Times New Roman"/>
                <w:b w:val="false"/>
                <w:bCs w:val="false"/>
                <w:sz w:val="20"/>
                <w:szCs w:val="20"/>
              </w:rPr>
              <w:t xml:space="preserve">Correlation E(a,b)</w:t>
            </w:r>
          </w:p>
        </w:tc>
        <w:tc>
          <w:tcPr>
            <w:tcW w:type="dxa" w:w="3360"/>
            <w:tcBorders>
              <w:top w:val="single" w:color="BBBBBB" w:sz="1"/>
              <w:left w:val="single" w:color="BBBBBB" w:sz="1"/>
              <w:bottom w:val="single" w:color="BBBBBB" w:sz="1"/>
              <w:right w:val="single" w:color="BBBBBB" w:sz="1"/>
            </w:tcBorders>
            <w:tcMar>
              <w:top w:type="dxa" w:w="80"/>
              <w:left w:type="dxa" w:w="120"/>
              <w:bottom w:type="dxa" w:w="80"/>
              <w:right w:type="dxa" w:w="120"/>
            </w:tcMar>
          </w:tcPr>
          <w:p>
            <w:pPr>
              <w:jc w:val="both"/>
            </w:pPr>
            <w:r>
              <w:rPr>
                <w:rFonts w:ascii="Times New Roman" w:cs="Times New Roman" w:eastAsia="Times New Roman" w:hAnsi="Times New Roman"/>
                <w:b w:val="false"/>
                <w:bCs w:val="false"/>
                <w:sz w:val="20"/>
                <w:szCs w:val="20"/>
              </w:rPr>
              <w:t xml:space="preserve">−cos(a−b) (max error 0.002)</w:t>
            </w:r>
          </w:p>
        </w:tc>
        <w:tc>
          <w:tcPr>
            <w:tcW w:type="dxa" w:w="3000"/>
            <w:tcBorders>
              <w:top w:val="single" w:color="BBBBBB" w:sz="1"/>
              <w:left w:val="single" w:color="BBBBBB" w:sz="1"/>
              <w:bottom w:val="single" w:color="BBBBBB" w:sz="1"/>
              <w:right w:val="single" w:color="BBBBBB" w:sz="1"/>
            </w:tcBorders>
            <w:tcMar>
              <w:top w:type="dxa" w:w="80"/>
              <w:left w:type="dxa" w:w="120"/>
              <w:bottom w:type="dxa" w:w="80"/>
              <w:right w:type="dxa" w:w="120"/>
            </w:tcMar>
          </w:tcPr>
          <w:p>
            <w:pPr>
              <w:jc w:val="both"/>
            </w:pPr>
            <w:r>
              <w:rPr>
                <w:rFonts w:ascii="Times New Roman" w:cs="Times New Roman" w:eastAsia="Times New Roman" w:hAnsi="Times New Roman"/>
                <w:b w:val="false"/>
                <w:bCs w:val="false"/>
                <w:sz w:val="20"/>
                <w:szCs w:val="20"/>
              </w:rPr>
              <w:t xml:space="preserve">−cos(a−b)</w:t>
            </w:r>
          </w:p>
        </w:tc>
      </w:tr>
      <w:tr>
        <w:tc>
          <w:tcPr>
            <w:tcW w:type="dxa" w:w="3000"/>
            <w:tcBorders>
              <w:top w:val="single" w:color="BBBBBB" w:sz="1"/>
              <w:left w:val="single" w:color="BBBBBB" w:sz="1"/>
              <w:bottom w:val="single" w:color="BBBBBB" w:sz="1"/>
              <w:right w:val="single" w:color="BBBBBB" w:sz="1"/>
            </w:tcBorders>
            <w:tcMar>
              <w:top w:type="dxa" w:w="80"/>
              <w:left w:type="dxa" w:w="120"/>
              <w:bottom w:type="dxa" w:w="80"/>
              <w:right w:type="dxa" w:w="120"/>
            </w:tcMar>
          </w:tcPr>
          <w:p>
            <w:pPr>
              <w:jc w:val="both"/>
            </w:pPr>
            <w:r>
              <w:rPr>
                <w:rFonts w:ascii="Times New Roman" w:cs="Times New Roman" w:eastAsia="Times New Roman" w:hAnsi="Times New Roman"/>
                <w:b w:val="false"/>
                <w:bCs w:val="false"/>
                <w:sz w:val="20"/>
                <w:szCs w:val="20"/>
              </w:rPr>
              <w:t xml:space="preserve">CHSH S</w:t>
            </w:r>
          </w:p>
        </w:tc>
        <w:tc>
          <w:tcPr>
            <w:tcW w:type="dxa" w:w="3360"/>
            <w:tcBorders>
              <w:top w:val="single" w:color="BBBBBB" w:sz="1"/>
              <w:left w:val="single" w:color="BBBBBB" w:sz="1"/>
              <w:bottom w:val="single" w:color="BBBBBB" w:sz="1"/>
              <w:right w:val="single" w:color="BBBBBB" w:sz="1"/>
            </w:tcBorders>
            <w:tcMar>
              <w:top w:type="dxa" w:w="80"/>
              <w:left w:type="dxa" w:w="120"/>
              <w:bottom w:type="dxa" w:w="80"/>
              <w:right w:type="dxa" w:w="120"/>
            </w:tcMar>
          </w:tcPr>
          <w:p>
            <w:pPr>
              <w:jc w:val="both"/>
            </w:pPr>
            <w:r>
              <w:rPr>
                <w:rFonts w:ascii="Times New Roman" w:cs="Times New Roman" w:eastAsia="Times New Roman" w:hAnsi="Times New Roman"/>
                <w:b w:val="false"/>
                <w:bCs w:val="false"/>
                <w:sz w:val="20"/>
                <w:szCs w:val="20"/>
              </w:rPr>
              <w:t xml:space="preserve">2.83 (numerically 2.826)</w:t>
            </w:r>
          </w:p>
        </w:tc>
        <w:tc>
          <w:tcPr>
            <w:tcW w:type="dxa" w:w="3000"/>
            <w:tcBorders>
              <w:top w:val="single" w:color="BBBBBB" w:sz="1"/>
              <w:left w:val="single" w:color="BBBBBB" w:sz="1"/>
              <w:bottom w:val="single" w:color="BBBBBB" w:sz="1"/>
              <w:right w:val="single" w:color="BBBBBB" w:sz="1"/>
            </w:tcBorders>
            <w:tcMar>
              <w:top w:type="dxa" w:w="80"/>
              <w:left w:type="dxa" w:w="120"/>
              <w:bottom w:type="dxa" w:w="80"/>
              <w:right w:type="dxa" w:w="120"/>
            </w:tcMar>
          </w:tcPr>
          <w:p>
            <w:pPr>
              <w:jc w:val="both"/>
            </w:pPr>
            <w:r>
              <w:rPr>
                <w:rFonts w:ascii="Times New Roman" w:cs="Times New Roman" w:eastAsia="Times New Roman" w:hAnsi="Times New Roman"/>
                <w:b w:val="false"/>
                <w:bCs w:val="false"/>
                <w:sz w:val="20"/>
                <w:szCs w:val="20"/>
              </w:rPr>
              <w:t xml:space="preserve">2√2 ≈ 2.828</w:t>
            </w:r>
          </w:p>
        </w:tc>
      </w:tr>
      <w:tr>
        <w:tc>
          <w:tcPr>
            <w:tcW w:type="dxa" w:w="3000"/>
            <w:tcBorders>
              <w:top w:val="single" w:color="BBBBBB" w:sz="1"/>
              <w:left w:val="single" w:color="BBBBBB" w:sz="1"/>
              <w:bottom w:val="single" w:color="BBBBBB" w:sz="1"/>
              <w:right w:val="single" w:color="BBBBBB" w:sz="1"/>
            </w:tcBorders>
            <w:tcMar>
              <w:top w:type="dxa" w:w="80"/>
              <w:left w:type="dxa" w:w="120"/>
              <w:bottom w:type="dxa" w:w="80"/>
              <w:right w:type="dxa" w:w="120"/>
            </w:tcMar>
          </w:tcPr>
          <w:p>
            <w:pPr>
              <w:jc w:val="both"/>
            </w:pPr>
            <w:r>
              <w:rPr>
                <w:rFonts w:ascii="Times New Roman" w:cs="Times New Roman" w:eastAsia="Times New Roman" w:hAnsi="Times New Roman"/>
                <w:b w:val="false"/>
                <w:bCs w:val="false"/>
                <w:sz w:val="20"/>
                <w:szCs w:val="20"/>
              </w:rPr>
              <w:t xml:space="preserve">Marginal ⟨A⟩, ⟨B⟩</w:t>
            </w:r>
          </w:p>
        </w:tc>
        <w:tc>
          <w:tcPr>
            <w:tcW w:type="dxa" w:w="3360"/>
            <w:tcBorders>
              <w:top w:val="single" w:color="BBBBBB" w:sz="1"/>
              <w:left w:val="single" w:color="BBBBBB" w:sz="1"/>
              <w:bottom w:val="single" w:color="BBBBBB" w:sz="1"/>
              <w:right w:val="single" w:color="BBBBBB" w:sz="1"/>
            </w:tcBorders>
            <w:tcMar>
              <w:top w:type="dxa" w:w="80"/>
              <w:left w:type="dxa" w:w="120"/>
              <w:bottom w:type="dxa" w:w="80"/>
              <w:right w:type="dxa" w:w="120"/>
            </w:tcMar>
          </w:tcPr>
          <w:p>
            <w:pPr>
              <w:jc w:val="both"/>
            </w:pPr>
            <w:r>
              <w:rPr>
                <w:rFonts w:ascii="Times New Roman" w:cs="Times New Roman" w:eastAsia="Times New Roman" w:hAnsi="Times New Roman"/>
                <w:b w:val="false"/>
                <w:bCs w:val="false"/>
                <w:sz w:val="20"/>
                <w:szCs w:val="20"/>
              </w:rPr>
              <w:t xml:space="preserve">0.00 (independent of the far setting)</w:t>
            </w:r>
          </w:p>
        </w:tc>
        <w:tc>
          <w:tcPr>
            <w:tcW w:type="dxa" w:w="3000"/>
            <w:tcBorders>
              <w:top w:val="single" w:color="BBBBBB" w:sz="1"/>
              <w:left w:val="single" w:color="BBBBBB" w:sz="1"/>
              <w:bottom w:val="single" w:color="BBBBBB" w:sz="1"/>
              <w:right w:val="single" w:color="BBBBBB" w:sz="1"/>
            </w:tcBorders>
            <w:tcMar>
              <w:top w:type="dxa" w:w="80"/>
              <w:left w:type="dxa" w:w="120"/>
              <w:bottom w:type="dxa" w:w="80"/>
              <w:right w:type="dxa" w:w="120"/>
            </w:tcMar>
          </w:tcPr>
          <w:p>
            <w:pPr>
              <w:jc w:val="both"/>
            </w:pPr>
            <w:r>
              <w:rPr>
                <w:rFonts w:ascii="Times New Roman" w:cs="Times New Roman" w:eastAsia="Times New Roman" w:hAnsi="Times New Roman"/>
                <w:b w:val="false"/>
                <w:bCs w:val="false"/>
                <w:sz w:val="20"/>
                <w:szCs w:val="20"/>
              </w:rPr>
              <w:t xml:space="preserve">0</w:t>
            </w:r>
          </w:p>
        </w:tc>
      </w:tr>
    </w:tbl>
    <w:p>
      <w:pPr>
        <w:spacing w:after="160" w:before="0" w:line="276"/>
        <w:jc w:val="both"/>
      </w:pPr>
      <w:r>
        <w:rPr>
          <w:rFonts w:ascii="Times New Roman" w:cs="Times New Roman" w:eastAsia="Times New Roman" w:hAnsi="Times New Roman"/>
          <w:b/>
          <w:bCs/>
          <w:color w:val="7B2D26"/>
          <w:sz w:val="24"/>
          <w:szCs w:val="24"/>
        </w:rPr>
        <w:t xml:space="preserve">The essential honesty flag, stated immediately. </w:t>
      </w:r>
      <w:r>
        <w:rPr>
          <w:rFonts w:ascii="Times New Roman" w:cs="Times New Roman" w:eastAsia="Times New Roman" w:hAnsi="Times New Roman"/>
          <w:sz w:val="24"/>
          <w:szCs w:val="24"/>
        </w:rPr>
        <w:t xml:space="preserve">This model reaches the quantum result — but (3.1) was IMPOSED. Writing the conditional as the squared spinor overlap inserts the very quantum law we are trying to derive. Reproducing the cosine this way demonstrates CONSISTENCY (a non-local update CAN carry the quantum correlation) but is not, by itself, a DERIVATION from rope dynamics. Whether the rope ontology GENERATES (3.1) rather than merely permitting it is the question of §5 — and is where the honest wall stands.</w:t>
      </w:r>
    </w:p>
    <w:p>
      <w:pPr>
        <w:spacing w:after="80"/>
      </w:pPr>
      <w:r>
        <w:rPr>
          <w:sz w:val="22"/>
          <w:szCs w:val="22"/>
        </w:rPr>
        <w:t xml:space="preserve"/>
      </w:r>
    </w:p>
    <w:p>
      <w:pPr>
        <w:pStyle w:val="Heading1"/>
        <w:spacing w:after="160" w:before="360"/>
      </w:pPr>
      <w:r>
        <w:rPr>
          <w:rFonts w:ascii="Times New Roman" w:cs="Times New Roman" w:eastAsia="Times New Roman" w:hAnsi="Times New Roman"/>
          <w:b/>
          <w:bCs/>
          <w:color w:val="1F3864"/>
          <w:sz w:val="28"/>
          <w:szCs w:val="28"/>
        </w:rPr>
        <w:t xml:space="preserve">4.  No-Signalling Closes Cleanly</w:t>
      </w:r>
    </w:p>
    <w:p>
      <w:pPr>
        <w:spacing w:after="160" w:before="0" w:line="276"/>
        <w:jc w:val="both"/>
      </w:pPr>
      <w:r>
        <w:rPr>
          <w:rFonts w:ascii="Times New Roman" w:cs="Times New Roman" w:eastAsia="Times New Roman" w:hAnsi="Times New Roman"/>
          <w:sz w:val="24"/>
          <w:szCs w:val="24"/>
        </w:rPr>
        <w:t xml:space="preserve">One part of the problem closes without qualification. In the update model the marginal outcome at each end is unaffected by the distant setting: ⟨A⟩ is independent of b and ⟨B⟩ is independent of a, both equal to zero within statistical error across all settings tested. The update changes only the JOINT distribution — the correlation — never the local marginals. There is therefore no channel by which choosing b could transmit information detectable at A: the non-locality is correlational, not causal, exactly as the foundations paper required.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2E6E4F" w:sz="4"/>
              <w:left w:val="single" w:color="2E6E4F" w:sz="18"/>
              <w:bottom w:val="single" w:color="2E6E4F" w:sz="4"/>
              <w:right w:val="single" w:color="2E6E4F" w:sz="4"/>
            </w:tcBorders>
            <w:shd w:fill="F2F5F9" w:val="clear"/>
            <w:tcMar>
              <w:top w:type="dxa" w:w="120"/>
              <w:left w:type="dxa" w:w="200"/>
              <w:bottom w:type="dxa" w:w="120"/>
              <w:right w:type="dxa" w:w="160"/>
            </w:tcMar>
          </w:tcPr>
          <w:p>
            <w:pPr>
              <w:spacing w:after="60"/>
            </w:pPr>
            <w:r>
              <w:rPr>
                <w:rFonts w:ascii="Times New Roman" w:cs="Times New Roman" w:eastAsia="Times New Roman" w:hAnsi="Times New Roman"/>
                <w:b/>
                <w:bCs/>
                <w:color w:val="2E6E4F"/>
                <w:sz w:val="22"/>
                <w:szCs w:val="22"/>
              </w:rPr>
              <w:t xml:space="preserve">What closes here</w:t>
            </w:r>
          </w:p>
          <w:p>
            <w:pPr>
              <w:spacing w:after="60"/>
              <w:jc w:val="both"/>
            </w:pPr>
            <w:r>
              <w:rPr>
                <w:rFonts w:ascii="Times New Roman" w:cs="Times New Roman" w:eastAsia="Times New Roman" w:hAnsi="Times New Roman"/>
                <w:sz w:val="22"/>
                <w:szCs w:val="22"/>
              </w:rPr>
              <w:t xml:space="preserve">No-signalling holds identically for the non-local update rule, and does so independently of the unresolved angle-identification of §5. Whatever the resolution of that step, the rope update rule does not permit superluminal signalling. This is a genuine, unqualified success: the ontology’s central consistency requirement — non-local correlation without signalling — is satisfied by an explicit mechanism.</w:t>
            </w:r>
          </w:p>
        </w:tc>
      </w:tr>
    </w:tbl>
    <w:p>
      <w:pPr>
        <w:spacing w:after="80"/>
      </w:pPr>
      <w:r>
        <w:rPr>
          <w:sz w:val="22"/>
          <w:szCs w:val="22"/>
        </w:rPr>
        <w:t xml:space="preserve"/>
      </w:r>
    </w:p>
    <w:p>
      <w:pPr>
        <w:pStyle w:val="Heading1"/>
        <w:spacing w:after="160" w:before="360"/>
      </w:pPr>
      <w:r>
        <w:rPr>
          <w:rFonts w:ascii="Times New Roman" w:cs="Times New Roman" w:eastAsia="Times New Roman" w:hAnsi="Times New Roman"/>
          <w:b/>
          <w:bCs/>
          <w:color w:val="1F3864"/>
          <w:sz w:val="28"/>
          <w:szCs w:val="28"/>
        </w:rPr>
        <w:t xml:space="preserve">5.  Deriving the Conditional: The Attempt and the Wall</w:t>
      </w:r>
    </w:p>
    <w:p>
      <w:pPr>
        <w:spacing w:after="160" w:before="0" w:line="276"/>
        <w:jc w:val="both"/>
      </w:pPr>
      <w:r>
        <w:rPr>
          <w:rFonts w:ascii="Times New Roman" w:cs="Times New Roman" w:eastAsia="Times New Roman" w:hAnsi="Times New Roman"/>
          <w:sz w:val="24"/>
          <w:szCs w:val="24"/>
        </w:rPr>
        <w:t xml:space="preserve">The real question is whether rope dynamics GENERATE the conditional (3.1). We attempt the derivation from the programme’s own structural results and report precisely where it succeeds and where it stops.</w:t>
      </w:r>
    </w:p>
    <w:p>
      <w:pPr>
        <w:pStyle w:val="Heading2"/>
        <w:spacing w:after="120" w:before="240"/>
      </w:pPr>
      <w:r>
        <w:rPr>
          <w:rFonts w:ascii="Times New Roman" w:cs="Times New Roman" w:eastAsia="Times New Roman" w:hAnsi="Times New Roman"/>
          <w:b/>
          <w:bCs/>
          <w:i/>
          <w:iCs/>
          <w:color w:val="2E4057"/>
          <w:sz w:val="24"/>
          <w:szCs w:val="24"/>
        </w:rPr>
        <w:t xml:space="preserve">5.1  What the rope structure supplies</w:t>
      </w:r>
    </w:p>
    <w:p>
      <w:pPr>
        <w:spacing w:after="160" w:before="0" w:line="276"/>
        <w:jc w:val="both"/>
      </w:pPr>
      <w:r>
        <w:rPr>
          <w:rFonts w:ascii="Times New Roman" w:cs="Times New Roman" w:eastAsia="Times New Roman" w:hAnsi="Times New Roman"/>
          <w:sz w:val="24"/>
          <w:szCs w:val="24"/>
        </w:rPr>
        <w:t xml:space="preserve">Two ingredients come from the programme rather than from insertion. First, the two-strand state space is the Hopf bundle S³ → S², whose fibre structure is exactly the spin-½ spinor — a structural result of the programme’s strand-linking analysis, not assumed here. Second, the measurement model is irreversible configuration-entropy increase (S = k ln|C|), so an outcome’s probability is set by the fraction of the shared configuration space compatible with it.</w:t>
      </w:r>
    </w:p>
    <w:p>
      <w:pPr>
        <w:spacing w:after="160" w:before="0" w:line="276"/>
        <w:jc w:val="both"/>
      </w:pPr>
      <w:r>
        <w:rPr>
          <w:rFonts w:ascii="Times New Roman" w:cs="Times New Roman" w:eastAsia="Times New Roman" w:hAnsi="Times New Roman"/>
          <w:sz w:val="24"/>
          <w:szCs w:val="24"/>
        </w:rPr>
        <w:t xml:space="preserve">These two give more than one might expect. On a spinor, the squared overlap satisfies the exact half-angle identity</w:t>
      </w:r>
    </w:p>
    <w:p>
      <w:pPr>
        <w:spacing w:after="140" w:before="140"/>
        <w:jc w:val="center"/>
      </w:pPr>
      <w:r>
        <w:rPr>
          <w:rFonts w:ascii="Courier New" w:cs="Courier New" w:eastAsia="Courier New" w:hAnsi="Courier New"/>
          <w:sz w:val="22"/>
          <w:szCs w:val="22"/>
        </w:rPr>
        <w:t xml:space="preserve">cos²(θ/2) = (1 + cosθ)/2</w:t>
      </w:r>
      <w:r>
        <w:rPr>
          <w:rFonts w:ascii="Times New Roman" w:cs="Times New Roman" w:eastAsia="Times New Roman" w:hAnsi="Times New Roman"/>
          <w:color w:val="666666"/>
          <w:sz w:val="20"/>
          <w:szCs w:val="20"/>
        </w:rPr>
        <w:t xml:space="preserve">   (5.1)</w:t>
      </w:r>
    </w:p>
    <w:p>
      <w:pPr>
        <w:spacing w:after="160" w:before="0" w:line="276"/>
        <w:jc w:val="both"/>
      </w:pPr>
      <w:r>
        <w:rPr>
          <w:rFonts w:ascii="Times New Roman" w:cs="Times New Roman" w:eastAsia="Times New Roman" w:hAnsi="Times New Roman"/>
          <w:sz w:val="24"/>
          <w:szCs w:val="24"/>
        </w:rPr>
        <w:t xml:space="preserve">so the Born-rule form cos²(θ/2) is IDENTICAL to a probability that is LINEAR in the projection cosθ. In other words, once the state space is the spinor, one does not need to separately postulate ‘square the amplitude’: a configuration-fraction rule linear in the spin projection AUTOMATICALLY produces the Born cos². The square is not an extra assumption on the spinor — it is linearity in the Bloch-sphere projection. This is a real, and slightly surprising, point in the programme’s favour.</w:t>
      </w:r>
    </w:p>
    <w:p>
      <w:pPr>
        <w:pStyle w:val="Heading2"/>
        <w:spacing w:after="120" w:before="240"/>
      </w:pPr>
      <w:r>
        <w:rPr>
          <w:rFonts w:ascii="Times New Roman" w:cs="Times New Roman" w:eastAsia="Times New Roman" w:hAnsi="Times New Roman"/>
          <w:b/>
          <w:bCs/>
          <w:i/>
          <w:iCs/>
          <w:color w:val="2E4057"/>
          <w:sz w:val="24"/>
          <w:szCs w:val="24"/>
        </w:rPr>
        <w:t xml:space="preserve">5.2  The step that does not close</w:t>
      </w:r>
    </w:p>
    <w:p>
      <w:pPr>
        <w:spacing w:after="160" w:before="0" w:line="276"/>
        <w:jc w:val="both"/>
      </w:pPr>
      <w:r>
        <w:rPr>
          <w:rFonts w:ascii="Times New Roman" w:cs="Times New Roman" w:eastAsia="Times New Roman" w:hAnsi="Times New Roman"/>
          <w:sz w:val="24"/>
          <w:szCs w:val="24"/>
        </w:rPr>
        <w:t xml:space="preserve">The angle θ in (5.1) is the angle on the Hopf BASE sphere S² (the Bloch sphere), which is TWICE the angle in the spinor fibre. The detector settings a, b are physical laboratory angles. The quantum correlation −cos(a−b) requires that the laboratory angle difference map to the Bloch angle DIRECTLY, one-to-one (θ = a−b), so that the projection cosθ = cos(a−b). The rope geometry, however, supplies BOTH angles — the base-sphere angle and the fibre angle, differing by a factor of two — and does not yet FORCE which one the measurement couples to.</w:t>
      </w:r>
    </w:p>
    <w:p>
      <w:pPr>
        <w:spacing w:after="160" w:before="0" w:line="276"/>
        <w:jc w:val="both"/>
      </w:pPr>
      <w:r>
        <w:rPr>
          <w:rFonts w:ascii="Times New Roman" w:cs="Times New Roman" w:eastAsia="Times New Roman" w:hAnsi="Times New Roman"/>
          <w:sz w:val="24"/>
          <w:szCs w:val="24"/>
        </w:rPr>
        <w:t xml:space="preserve">This is not a vague gap; it is a single number. Parametrise the coupling by γ, with the detector seeing Bloch angle γ(a−b). The CHSH value is then fixed ENTIRELY by γ:</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3200"/>
        <w:gridCol w:w="1600"/>
        <w:gridCol w:w="2560"/>
      </w:tblGrid>
      <w:tr>
        <w:tc>
          <w:tcPr>
            <w:tcW w:type="dxa" w:w="2000"/>
            <w:tcBorders>
              <w:top w:val="single" w:color="BBBBBB" w:sz="1"/>
              <w:left w:val="single" w:color="BBBBBB" w:sz="1"/>
              <w:bottom w:val="single" w:color="BBBBBB" w:sz="1"/>
              <w:right w:val="single" w:color="BBBBBB" w:sz="1"/>
            </w:tcBorders>
            <w:shd w:fill="D6E4F0" w:val="clear"/>
            <w:tcMar>
              <w:top w:type="dxa" w:w="80"/>
              <w:left w:type="dxa" w:w="120"/>
              <w:bottom w:type="dxa" w:w="80"/>
              <w:right w:type="dxa" w:w="120"/>
            </w:tcMar>
          </w:tcPr>
          <w:p>
            <w:pPr>
              <w:jc w:val="both"/>
            </w:pPr>
            <w:r>
              <w:rPr>
                <w:rFonts w:ascii="Times New Roman" w:cs="Times New Roman" w:eastAsia="Times New Roman" w:hAnsi="Times New Roman"/>
                <w:b/>
                <w:bCs/>
                <w:sz w:val="22"/>
                <w:szCs w:val="22"/>
              </w:rPr>
              <w:t xml:space="preserve">Angle map γ</w:t>
            </w:r>
          </w:p>
        </w:tc>
        <w:tc>
          <w:tcPr>
            <w:tcW w:type="dxa" w:w="3200"/>
            <w:tcBorders>
              <w:top w:val="single" w:color="BBBBBB" w:sz="1"/>
              <w:left w:val="single" w:color="BBBBBB" w:sz="1"/>
              <w:bottom w:val="single" w:color="BBBBBB" w:sz="1"/>
              <w:right w:val="single" w:color="BBBBBB" w:sz="1"/>
            </w:tcBorders>
            <w:shd w:fill="D6E4F0" w:val="clear"/>
            <w:tcMar>
              <w:top w:type="dxa" w:w="80"/>
              <w:left w:type="dxa" w:w="120"/>
              <w:bottom w:type="dxa" w:w="80"/>
              <w:right w:type="dxa" w:w="120"/>
            </w:tcMar>
          </w:tcPr>
          <w:p>
            <w:pPr>
              <w:jc w:val="both"/>
            </w:pPr>
            <w:r>
              <w:rPr>
                <w:rFonts w:ascii="Times New Roman" w:cs="Times New Roman" w:eastAsia="Times New Roman" w:hAnsi="Times New Roman"/>
                <w:b/>
                <w:bCs/>
                <w:sz w:val="22"/>
                <w:szCs w:val="22"/>
              </w:rPr>
              <w:t xml:space="preserve">Detector couples to</w:t>
            </w:r>
          </w:p>
        </w:tc>
        <w:tc>
          <w:tcPr>
            <w:tcW w:type="dxa" w:w="1600"/>
            <w:tcBorders>
              <w:top w:val="single" w:color="BBBBBB" w:sz="1"/>
              <w:left w:val="single" w:color="BBBBBB" w:sz="1"/>
              <w:bottom w:val="single" w:color="BBBBBB" w:sz="1"/>
              <w:right w:val="single" w:color="BBBBBB" w:sz="1"/>
            </w:tcBorders>
            <w:shd w:fill="D6E4F0" w:val="clear"/>
            <w:tcMar>
              <w:top w:type="dxa" w:w="80"/>
              <w:left w:type="dxa" w:w="120"/>
              <w:bottom w:type="dxa" w:w="80"/>
              <w:right w:type="dxa" w:w="120"/>
            </w:tcMar>
          </w:tcPr>
          <w:p>
            <w:pPr>
              <w:jc w:val="both"/>
            </w:pPr>
            <w:r>
              <w:rPr>
                <w:rFonts w:ascii="Times New Roman" w:cs="Times New Roman" w:eastAsia="Times New Roman" w:hAnsi="Times New Roman"/>
                <w:b/>
                <w:bCs/>
                <w:sz w:val="22"/>
                <w:szCs w:val="22"/>
              </w:rPr>
              <w:t xml:space="preserve">CHSH S</w:t>
            </w:r>
          </w:p>
        </w:tc>
        <w:tc>
          <w:tcPr>
            <w:tcW w:type="dxa" w:w="2560"/>
            <w:tcBorders>
              <w:top w:val="single" w:color="BBBBBB" w:sz="1"/>
              <w:left w:val="single" w:color="BBBBBB" w:sz="1"/>
              <w:bottom w:val="single" w:color="BBBBBB" w:sz="1"/>
              <w:right w:val="single" w:color="BBBBBB" w:sz="1"/>
            </w:tcBorders>
            <w:shd w:fill="D6E4F0" w:val="clear"/>
            <w:tcMar>
              <w:top w:type="dxa" w:w="80"/>
              <w:left w:type="dxa" w:w="120"/>
              <w:bottom w:type="dxa" w:w="80"/>
              <w:right w:type="dxa" w:w="120"/>
            </w:tcMar>
          </w:tcPr>
          <w:p>
            <w:pPr>
              <w:jc w:val="both"/>
            </w:pPr>
            <w:r>
              <w:rPr>
                <w:rFonts w:ascii="Times New Roman" w:cs="Times New Roman" w:eastAsia="Times New Roman" w:hAnsi="Times New Roman"/>
                <w:b/>
                <w:bCs/>
                <w:sz w:val="22"/>
                <w:szCs w:val="22"/>
              </w:rPr>
              <w:t xml:space="preserve">Verdict</w:t>
            </w:r>
          </w:p>
        </w:tc>
      </w:tr>
      <w:tr>
        <w:tc>
          <w:tcPr>
            <w:tcW w:type="dxa" w:w="2000"/>
            <w:tcBorders>
              <w:top w:val="single" w:color="BBBBBB" w:sz="1"/>
              <w:left w:val="single" w:color="BBBBBB" w:sz="1"/>
              <w:bottom w:val="single" w:color="BBBBBB" w:sz="1"/>
              <w:right w:val="single" w:color="BBBBBB" w:sz="1"/>
            </w:tcBorders>
            <w:tcMar>
              <w:top w:type="dxa" w:w="80"/>
              <w:left w:type="dxa" w:w="120"/>
              <w:bottom w:type="dxa" w:w="80"/>
              <w:right w:type="dxa" w:w="120"/>
            </w:tcMar>
          </w:tcPr>
          <w:p>
            <w:pPr>
              <w:jc w:val="both"/>
            </w:pPr>
            <w:r>
              <w:rPr>
                <w:rFonts w:ascii="Times New Roman" w:cs="Times New Roman" w:eastAsia="Times New Roman" w:hAnsi="Times New Roman"/>
                <w:b w:val="false"/>
                <w:bCs w:val="false"/>
                <w:sz w:val="20"/>
                <w:szCs w:val="20"/>
              </w:rPr>
              <w:t xml:space="preserve">γ = 1</w:t>
            </w:r>
          </w:p>
        </w:tc>
        <w:tc>
          <w:tcPr>
            <w:tcW w:type="dxa" w:w="3200"/>
            <w:tcBorders>
              <w:top w:val="single" w:color="BBBBBB" w:sz="1"/>
              <w:left w:val="single" w:color="BBBBBB" w:sz="1"/>
              <w:bottom w:val="single" w:color="BBBBBB" w:sz="1"/>
              <w:right w:val="single" w:color="BBBBBB" w:sz="1"/>
            </w:tcBorders>
            <w:tcMar>
              <w:top w:type="dxa" w:w="80"/>
              <w:left w:type="dxa" w:w="120"/>
              <w:bottom w:type="dxa" w:w="80"/>
              <w:right w:type="dxa" w:w="120"/>
            </w:tcMar>
          </w:tcPr>
          <w:p>
            <w:pPr>
              <w:jc w:val="both"/>
            </w:pPr>
            <w:r>
              <w:rPr>
                <w:rFonts w:ascii="Times New Roman" w:cs="Times New Roman" w:eastAsia="Times New Roman" w:hAnsi="Times New Roman"/>
                <w:b w:val="false"/>
                <w:bCs w:val="false"/>
                <w:sz w:val="20"/>
                <w:szCs w:val="20"/>
              </w:rPr>
              <w:t xml:space="preserve">base-sphere (Bloch) angle</w:t>
            </w:r>
          </w:p>
        </w:tc>
        <w:tc>
          <w:tcPr>
            <w:tcW w:type="dxa" w:w="1600"/>
            <w:tcBorders>
              <w:top w:val="single" w:color="BBBBBB" w:sz="1"/>
              <w:left w:val="single" w:color="BBBBBB" w:sz="1"/>
              <w:bottom w:val="single" w:color="BBBBBB" w:sz="1"/>
              <w:right w:val="single" w:color="BBBBBB" w:sz="1"/>
            </w:tcBorders>
            <w:tcMar>
              <w:top w:type="dxa" w:w="80"/>
              <w:left w:type="dxa" w:w="120"/>
              <w:bottom w:type="dxa" w:w="80"/>
              <w:right w:type="dxa" w:w="120"/>
            </w:tcMar>
          </w:tcPr>
          <w:p>
            <w:pPr>
              <w:jc w:val="both"/>
            </w:pPr>
            <w:r>
              <w:rPr>
                <w:rFonts w:ascii="Times New Roman" w:cs="Times New Roman" w:eastAsia="Times New Roman" w:hAnsi="Times New Roman"/>
                <w:b w:val="false"/>
                <w:bCs w:val="false"/>
                <w:sz w:val="20"/>
                <w:szCs w:val="20"/>
              </w:rPr>
              <w:t xml:space="preserve">2.83</w:t>
            </w:r>
          </w:p>
        </w:tc>
        <w:tc>
          <w:tcPr>
            <w:tcW w:type="dxa" w:w="2560"/>
            <w:tcBorders>
              <w:top w:val="single" w:color="BBBBBB" w:sz="1"/>
              <w:left w:val="single" w:color="BBBBBB" w:sz="1"/>
              <w:bottom w:val="single" w:color="BBBBBB" w:sz="1"/>
              <w:right w:val="single" w:color="BBBBBB" w:sz="1"/>
            </w:tcBorders>
            <w:tcMar>
              <w:top w:type="dxa" w:w="80"/>
              <w:left w:type="dxa" w:w="120"/>
              <w:bottom w:type="dxa" w:w="80"/>
              <w:right w:type="dxa" w:w="120"/>
            </w:tcMar>
          </w:tcPr>
          <w:p>
            <w:pPr>
              <w:jc w:val="both"/>
            </w:pPr>
            <w:r>
              <w:rPr>
                <w:rFonts w:ascii="Times New Roman" w:cs="Times New Roman" w:eastAsia="Times New Roman" w:hAnsi="Times New Roman"/>
                <w:b w:val="false"/>
                <w:bCs w:val="false"/>
                <w:sz w:val="20"/>
                <w:szCs w:val="20"/>
              </w:rPr>
              <w:t xml:space="preserve">QUANTUM — exact Tsirelson</w:t>
            </w:r>
          </w:p>
        </w:tc>
      </w:tr>
      <w:tr>
        <w:tc>
          <w:tcPr>
            <w:tcW w:type="dxa" w:w="2000"/>
            <w:tcBorders>
              <w:top w:val="single" w:color="BBBBBB" w:sz="1"/>
              <w:left w:val="single" w:color="BBBBBB" w:sz="1"/>
              <w:bottom w:val="single" w:color="BBBBBB" w:sz="1"/>
              <w:right w:val="single" w:color="BBBBBB" w:sz="1"/>
            </w:tcBorders>
            <w:tcMar>
              <w:top w:type="dxa" w:w="80"/>
              <w:left w:type="dxa" w:w="120"/>
              <w:bottom w:type="dxa" w:w="80"/>
              <w:right w:type="dxa" w:w="120"/>
            </w:tcMar>
          </w:tcPr>
          <w:p>
            <w:pPr>
              <w:jc w:val="both"/>
            </w:pPr>
            <w:r>
              <w:rPr>
                <w:rFonts w:ascii="Times New Roman" w:cs="Times New Roman" w:eastAsia="Times New Roman" w:hAnsi="Times New Roman"/>
                <w:b w:val="false"/>
                <w:bCs w:val="false"/>
                <w:sz w:val="20"/>
                <w:szCs w:val="20"/>
              </w:rPr>
              <w:t xml:space="preserve">γ = ½</w:t>
            </w:r>
          </w:p>
        </w:tc>
        <w:tc>
          <w:tcPr>
            <w:tcW w:type="dxa" w:w="3200"/>
            <w:tcBorders>
              <w:top w:val="single" w:color="BBBBBB" w:sz="1"/>
              <w:left w:val="single" w:color="BBBBBB" w:sz="1"/>
              <w:bottom w:val="single" w:color="BBBBBB" w:sz="1"/>
              <w:right w:val="single" w:color="BBBBBB" w:sz="1"/>
            </w:tcBorders>
            <w:tcMar>
              <w:top w:type="dxa" w:w="80"/>
              <w:left w:type="dxa" w:w="120"/>
              <w:bottom w:type="dxa" w:w="80"/>
              <w:right w:type="dxa" w:w="120"/>
            </w:tcMar>
          </w:tcPr>
          <w:p>
            <w:pPr>
              <w:jc w:val="both"/>
            </w:pPr>
            <w:r>
              <w:rPr>
                <w:rFonts w:ascii="Times New Roman" w:cs="Times New Roman" w:eastAsia="Times New Roman" w:hAnsi="Times New Roman"/>
                <w:b w:val="false"/>
                <w:bCs w:val="false"/>
                <w:sz w:val="20"/>
                <w:szCs w:val="20"/>
              </w:rPr>
              <w:t xml:space="preserve">spinor fibre angle</w:t>
            </w:r>
          </w:p>
        </w:tc>
        <w:tc>
          <w:tcPr>
            <w:tcW w:type="dxa" w:w="1600"/>
            <w:tcBorders>
              <w:top w:val="single" w:color="BBBBBB" w:sz="1"/>
              <w:left w:val="single" w:color="BBBBBB" w:sz="1"/>
              <w:bottom w:val="single" w:color="BBBBBB" w:sz="1"/>
              <w:right w:val="single" w:color="BBBBBB" w:sz="1"/>
            </w:tcBorders>
            <w:tcMar>
              <w:top w:type="dxa" w:w="80"/>
              <w:left w:type="dxa" w:w="120"/>
              <w:bottom w:type="dxa" w:w="80"/>
              <w:right w:type="dxa" w:w="120"/>
            </w:tcMar>
          </w:tcPr>
          <w:p>
            <w:pPr>
              <w:jc w:val="both"/>
            </w:pPr>
            <w:r>
              <w:rPr>
                <w:rFonts w:ascii="Times New Roman" w:cs="Times New Roman" w:eastAsia="Times New Roman" w:hAnsi="Times New Roman"/>
                <w:b w:val="false"/>
                <w:bCs w:val="false"/>
                <w:sz w:val="20"/>
                <w:szCs w:val="20"/>
              </w:rPr>
              <w:t xml:space="preserve">2.39</w:t>
            </w:r>
          </w:p>
        </w:tc>
        <w:tc>
          <w:tcPr>
            <w:tcW w:type="dxa" w:w="2560"/>
            <w:tcBorders>
              <w:top w:val="single" w:color="BBBBBB" w:sz="1"/>
              <w:left w:val="single" w:color="BBBBBB" w:sz="1"/>
              <w:bottom w:val="single" w:color="BBBBBB" w:sz="1"/>
              <w:right w:val="single" w:color="BBBBBB" w:sz="1"/>
            </w:tcBorders>
            <w:tcMar>
              <w:top w:type="dxa" w:w="80"/>
              <w:left w:type="dxa" w:w="120"/>
              <w:bottom w:type="dxa" w:w="80"/>
              <w:right w:type="dxa" w:w="120"/>
            </w:tcMar>
          </w:tcPr>
          <w:p>
            <w:pPr>
              <w:jc w:val="both"/>
            </w:pPr>
            <w:r>
              <w:rPr>
                <w:rFonts w:ascii="Times New Roman" w:cs="Times New Roman" w:eastAsia="Times New Roman" w:hAnsi="Times New Roman"/>
                <w:b w:val="false"/>
                <w:bCs w:val="false"/>
                <w:sz w:val="20"/>
                <w:szCs w:val="20"/>
              </w:rPr>
              <w:t xml:space="preserve">sub-quantum</w:t>
            </w:r>
          </w:p>
        </w:tc>
      </w:tr>
      <w:tr>
        <w:tc>
          <w:tcPr>
            <w:tcW w:type="dxa" w:w="2000"/>
            <w:tcBorders>
              <w:top w:val="single" w:color="BBBBBB" w:sz="1"/>
              <w:left w:val="single" w:color="BBBBBB" w:sz="1"/>
              <w:bottom w:val="single" w:color="BBBBBB" w:sz="1"/>
              <w:right w:val="single" w:color="BBBBBB" w:sz="1"/>
            </w:tcBorders>
            <w:tcMar>
              <w:top w:type="dxa" w:w="80"/>
              <w:left w:type="dxa" w:w="120"/>
              <w:bottom w:type="dxa" w:w="80"/>
              <w:right w:type="dxa" w:w="120"/>
            </w:tcMar>
          </w:tcPr>
          <w:p>
            <w:pPr>
              <w:jc w:val="both"/>
            </w:pPr>
            <w:r>
              <w:rPr>
                <w:rFonts w:ascii="Times New Roman" w:cs="Times New Roman" w:eastAsia="Times New Roman" w:hAnsi="Times New Roman"/>
                <w:b w:val="false"/>
                <w:bCs w:val="false"/>
                <w:sz w:val="20"/>
                <w:szCs w:val="20"/>
              </w:rPr>
              <w:t xml:space="preserve">γ = 2</w:t>
            </w:r>
          </w:p>
        </w:tc>
        <w:tc>
          <w:tcPr>
            <w:tcW w:type="dxa" w:w="3200"/>
            <w:tcBorders>
              <w:top w:val="single" w:color="BBBBBB" w:sz="1"/>
              <w:left w:val="single" w:color="BBBBBB" w:sz="1"/>
              <w:bottom w:val="single" w:color="BBBBBB" w:sz="1"/>
              <w:right w:val="single" w:color="BBBBBB" w:sz="1"/>
            </w:tcBorders>
            <w:tcMar>
              <w:top w:type="dxa" w:w="80"/>
              <w:left w:type="dxa" w:w="120"/>
              <w:bottom w:type="dxa" w:w="80"/>
              <w:right w:type="dxa" w:w="120"/>
            </w:tcMar>
          </w:tcPr>
          <w:p>
            <w:pPr>
              <w:jc w:val="both"/>
            </w:pPr>
            <w:r>
              <w:rPr>
                <w:rFonts w:ascii="Times New Roman" w:cs="Times New Roman" w:eastAsia="Times New Roman" w:hAnsi="Times New Roman"/>
                <w:b w:val="false"/>
                <w:bCs w:val="false"/>
                <w:sz w:val="20"/>
                <w:szCs w:val="20"/>
              </w:rPr>
              <w:t xml:space="preserve">double angle</w:t>
            </w:r>
          </w:p>
        </w:tc>
        <w:tc>
          <w:tcPr>
            <w:tcW w:type="dxa" w:w="1600"/>
            <w:tcBorders>
              <w:top w:val="single" w:color="BBBBBB" w:sz="1"/>
              <w:left w:val="single" w:color="BBBBBB" w:sz="1"/>
              <w:bottom w:val="single" w:color="BBBBBB" w:sz="1"/>
              <w:right w:val="single" w:color="BBBBBB" w:sz="1"/>
            </w:tcBorders>
            <w:tcMar>
              <w:top w:type="dxa" w:w="80"/>
              <w:left w:type="dxa" w:w="120"/>
              <w:bottom w:type="dxa" w:w="80"/>
              <w:right w:type="dxa" w:w="120"/>
            </w:tcMar>
          </w:tcPr>
          <w:p>
            <w:pPr>
              <w:jc w:val="both"/>
            </w:pPr>
            <w:r>
              <w:rPr>
                <w:rFonts w:ascii="Times New Roman" w:cs="Times New Roman" w:eastAsia="Times New Roman" w:hAnsi="Times New Roman"/>
                <w:b w:val="false"/>
                <w:bCs w:val="false"/>
                <w:sz w:val="20"/>
                <w:szCs w:val="20"/>
              </w:rPr>
              <w:t xml:space="preserve">0.00</w:t>
            </w:r>
          </w:p>
        </w:tc>
        <w:tc>
          <w:tcPr>
            <w:tcW w:type="dxa" w:w="2560"/>
            <w:tcBorders>
              <w:top w:val="single" w:color="BBBBBB" w:sz="1"/>
              <w:left w:val="single" w:color="BBBBBB" w:sz="1"/>
              <w:bottom w:val="single" w:color="BBBBBB" w:sz="1"/>
              <w:right w:val="single" w:color="BBBBBB" w:sz="1"/>
            </w:tcBorders>
            <w:tcMar>
              <w:top w:type="dxa" w:w="80"/>
              <w:left w:type="dxa" w:w="120"/>
              <w:bottom w:type="dxa" w:w="80"/>
              <w:right w:type="dxa" w:w="120"/>
            </w:tcMar>
          </w:tcPr>
          <w:p>
            <w:pPr>
              <w:jc w:val="both"/>
            </w:pPr>
            <w:r>
              <w:rPr>
                <w:rFonts w:ascii="Times New Roman" w:cs="Times New Roman" w:eastAsia="Times New Roman" w:hAnsi="Times New Roman"/>
                <w:b w:val="false"/>
                <w:bCs w:val="false"/>
                <w:sz w:val="20"/>
                <w:szCs w:val="20"/>
              </w:rPr>
              <w:t xml:space="preserve">unphysical</w:t>
            </w:r>
          </w:p>
        </w:tc>
      </w:tr>
    </w:tbl>
    <w:p>
      <w:pPr>
        <w:spacing w:after="160" w:before="0" w:line="276"/>
        <w:jc w:val="both"/>
      </w:pPr>
      <w:r>
        <w:rPr>
          <w:rFonts w:ascii="Times New Roman" w:cs="Times New Roman" w:eastAsia="Times New Roman" w:hAnsi="Times New Roman"/>
          <w:sz w:val="24"/>
          <w:szCs w:val="24"/>
        </w:rPr>
        <w:t xml:space="preserve">So the entire viability of the rope model as a theory of quantum correlations reduces to one question: does the rope measurement dynamics couple the detector to the base-sphere angle, i.e. is γ = 1? At γ = 1 the model IS quantum mechanics — cosine, Tsirelson, no-signalling. Away from γ = 1 it is not. We could not derive γ = 1 from the rope dynamics; nor could we derive any other value. The dynamics as currently formulated leave γ undetermined.</w:t>
      </w:r>
    </w:p>
    <w:p>
      <w:pPr>
        <w:spacing w:after="80"/>
      </w:pPr>
      <w:r>
        <w:rPr>
          <w:sz w:val="22"/>
          <w:szCs w:val="22"/>
        </w:rPr>
        <w:t xml:space="preserve"/>
      </w:r>
    </w:p>
    <w:p>
      <w:pPr>
        <w:pStyle w:val="Heading1"/>
        <w:spacing w:after="160" w:before="360"/>
      </w:pPr>
      <w:r>
        <w:rPr>
          <w:rFonts w:ascii="Times New Roman" w:cs="Times New Roman" w:eastAsia="Times New Roman" w:hAnsi="Times New Roman"/>
          <w:b/>
          <w:bCs/>
          <w:color w:val="1F3864"/>
          <w:sz w:val="28"/>
          <w:szCs w:val="28"/>
        </w:rPr>
        <w:t xml:space="preserve">6.  Is the Update Model Secretly Local?</w:t>
      </w:r>
    </w:p>
    <w:p>
      <w:pPr>
        <w:spacing w:after="160" w:before="0" w:line="276"/>
        <w:jc w:val="both"/>
      </w:pPr>
      <w:r>
        <w:rPr>
          <w:rFonts w:ascii="Times New Roman" w:cs="Times New Roman" w:eastAsia="Times New Roman" w:hAnsi="Times New Roman"/>
          <w:sz w:val="24"/>
          <w:szCs w:val="24"/>
        </w:rPr>
        <w:t xml:space="preserve">The foundations paper flagged a central trap: if a ‘non-local’ model’s correlations are secretly reproducible by a pre-established common cause, it is really LOCAL and already falsified. We must check the update model against this.</w:t>
      </w:r>
    </w:p>
    <w:p>
      <w:pPr>
        <w:spacing w:after="160" w:before="0" w:line="276"/>
        <w:jc w:val="both"/>
      </w:pPr>
      <w:r>
        <w:rPr>
          <w:rFonts w:ascii="Times New Roman" w:cs="Times New Roman" w:eastAsia="Times New Roman" w:hAnsi="Times New Roman"/>
          <w:sz w:val="24"/>
          <w:szCs w:val="24"/>
        </w:rPr>
        <w:t xml:space="preserve">It passes, because it exceeds the CHSH bound of 2 (reaching 2.83 at γ = 1). No local hidden-variable model can exceed 2; a model that reaches 2.83 is therefore genuinely non-local, not a disguised common cause. The non-locality enters specifically through the UPDATE: B’s conditional distribution depends on a via the post-measurement joint state, which no pre-set λ alone can encode. So the model is honestly non-local where it needs to be — the gain over the local baseline of §2 is real, not bookkeeping.</w:t>
      </w:r>
    </w:p>
    <w:p>
      <w:pPr>
        <w:spacing w:after="160" w:before="0" w:line="276"/>
        <w:jc w:val="both"/>
      </w:pPr>
      <w:r>
        <w:rPr>
          <w:rFonts w:ascii="Times New Roman" w:cs="Times New Roman" w:eastAsia="Times New Roman" w:hAnsi="Times New Roman"/>
          <w:b/>
          <w:bCs/>
          <w:sz w:val="24"/>
          <w:szCs w:val="24"/>
        </w:rPr>
        <w:t xml:space="preserve">A subtlety worth stating. </w:t>
      </w:r>
      <w:r>
        <w:rPr>
          <w:rFonts w:ascii="Times New Roman" w:cs="Times New Roman" w:eastAsia="Times New Roman" w:hAnsi="Times New Roman"/>
          <w:sz w:val="24"/>
          <w:szCs w:val="24"/>
        </w:rPr>
        <w:t xml:space="preserve">That the model is genuinely non-local does not by itself make it CORRECT — it makes it the right KIND of theory. Correctness still hangs on γ = 1 (§5). The local-disguise check confirms we have not fooled ourselves into a local model wearing non-local clothing; it does not supply the missing angle identification.</w:t>
      </w:r>
    </w:p>
    <w:p>
      <w:pPr>
        <w:spacing w:after="80"/>
      </w:pPr>
      <w:r>
        <w:rPr>
          <w:sz w:val="22"/>
          <w:szCs w:val="22"/>
        </w:rPr>
        <w:t xml:space="preserve"/>
      </w:r>
    </w:p>
    <w:p>
      <w:pPr>
        <w:pStyle w:val="Heading1"/>
        <w:spacing w:after="160" w:before="360"/>
      </w:pPr>
      <w:r>
        <w:rPr>
          <w:rFonts w:ascii="Times New Roman" w:cs="Times New Roman" w:eastAsia="Times New Roman" w:hAnsi="Times New Roman"/>
          <w:b/>
          <w:bCs/>
          <w:color w:val="1F3864"/>
          <w:sz w:val="28"/>
          <w:szCs w:val="28"/>
        </w:rPr>
        <w:t xml:space="preserve">7.  What Would Close the Gap</w:t>
      </w:r>
    </w:p>
    <w:p>
      <w:pPr>
        <w:spacing w:after="160" w:before="0" w:line="276"/>
        <w:jc w:val="both"/>
      </w:pPr>
      <w:r>
        <w:rPr>
          <w:rFonts w:ascii="Times New Roman" w:cs="Times New Roman" w:eastAsia="Times New Roman" w:hAnsi="Times New Roman"/>
          <w:sz w:val="24"/>
          <w:szCs w:val="24"/>
        </w:rPr>
        <w:t xml:space="preserve">Because the gap is now a single number, we can say concretely what would close it — which is more than an open problem usually offers:</w:t>
      </w:r>
    </w:p>
    <w:p>
      <w:pPr>
        <w:pStyle w:val="ListParagraph"/>
        <w:numPr>
          <w:ilvl w:val="0"/>
          <w:numId w:val="2"/>
        </w:numPr>
        <w:spacing w:after="80"/>
        <w:jc w:val="both"/>
      </w:pPr>
      <w:r>
        <w:rPr>
          <w:rFonts w:ascii="Times New Roman" w:cs="Times New Roman" w:eastAsia="Times New Roman" w:hAnsi="Times New Roman"/>
          <w:sz w:val="24"/>
          <w:szCs w:val="24"/>
        </w:rPr>
        <w:t xml:space="preserve">A derivation, from the rope measurement dynamics, that the detector couples to the base-sphere (Bloch) angle — i.e. that the irreversible configuration-entropy measurement projects onto the S² base of the Hopf bundle, not its fibre. This would fix γ = 1 and complete the reproduction of quantum correlations.</w:t>
      </w:r>
    </w:p>
    <w:p>
      <w:pPr>
        <w:pStyle w:val="ListParagraph"/>
        <w:numPr>
          <w:ilvl w:val="0"/>
          <w:numId w:val="2"/>
        </w:numPr>
        <w:spacing w:after="80"/>
        <w:jc w:val="both"/>
      </w:pPr>
      <w:r>
        <w:rPr>
          <w:rFonts w:ascii="Times New Roman" w:cs="Times New Roman" w:eastAsia="Times New Roman" w:hAnsi="Times New Roman"/>
          <w:sz w:val="24"/>
          <w:szCs w:val="24"/>
        </w:rPr>
        <w:t xml:space="preserve">Alternatively, a demonstration that the rope dynamics FORCE γ ≠ 1 — which would be a genuine falsification, predicting a specific sub-quantum CHSH value (e.g. 2.39 at γ = ½) that experiment has already excluded. This outcome is equally decisive and equally valuable: it would rule the rope model out as a theory of quantum correlations.</w:t>
      </w:r>
    </w:p>
    <w:p>
      <w:pPr>
        <w:pStyle w:val="ListParagraph"/>
        <w:numPr>
          <w:ilvl w:val="0"/>
          <w:numId w:val="2"/>
        </w:numPr>
        <w:spacing w:after="80"/>
        <w:jc w:val="both"/>
      </w:pPr>
      <w:r>
        <w:rPr>
          <w:rFonts w:ascii="Times New Roman" w:cs="Times New Roman" w:eastAsia="Times New Roman" w:hAnsi="Times New Roman"/>
          <w:sz w:val="24"/>
          <w:szCs w:val="24"/>
        </w:rPr>
        <w:t xml:space="preserve">Either way, the question is now EMPIRICALLY sharp: the rope model predicts a CHSH value that is a definite function of γ, and γ is fixed by the measurement dynamics. Pinning γ decides the matter.</w:t>
      </w:r>
    </w:p>
    <w:p>
      <w:pPr>
        <w:spacing w:after="160" w:before="0" w:line="276"/>
        <w:jc w:val="both"/>
      </w:pPr>
      <w:r>
        <w:rPr>
          <w:rFonts w:ascii="Times New Roman" w:cs="Times New Roman" w:eastAsia="Times New Roman" w:hAnsi="Times New Roman"/>
          <w:sz w:val="24"/>
          <w:szCs w:val="24"/>
        </w:rPr>
        <w:t xml:space="preserve">This is the sense in which the partial result is progress. The foundations paper left ‘reproduce the cosine’ as an open programme; this paper reduces it to ‘derive one angle identification,’ with both possible answers (γ = 1 confirming, γ ≠ 1 falsifying) sharply defined.</w:t>
      </w:r>
    </w:p>
    <w:p>
      <w:pPr>
        <w:spacing w:after="80"/>
      </w:pPr>
      <w:r>
        <w:rPr>
          <w:sz w:val="22"/>
          <w:szCs w:val="22"/>
        </w:rPr>
        <w:t xml:space="preserve"/>
      </w:r>
    </w:p>
    <w:p>
      <w:pPr>
        <w:pStyle w:val="Heading1"/>
        <w:spacing w:after="160" w:before="360"/>
      </w:pPr>
      <w:r>
        <w:rPr>
          <w:rFonts w:ascii="Times New Roman" w:cs="Times New Roman" w:eastAsia="Times New Roman" w:hAnsi="Times New Roman"/>
          <w:b/>
          <w:bCs/>
          <w:color w:val="1F3864"/>
          <w:sz w:val="28"/>
          <w:szCs w:val="28"/>
        </w:rPr>
        <w:t xml:space="preserve">8.  Honest Verdict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7B2D26" w:sz="4"/>
              <w:left w:val="single" w:color="7B2D26" w:sz="18"/>
              <w:bottom w:val="single" w:color="7B2D26" w:sz="4"/>
              <w:right w:val="single" w:color="7B2D26" w:sz="4"/>
            </w:tcBorders>
            <w:shd w:fill="F2F5F9" w:val="clear"/>
            <w:tcMar>
              <w:top w:type="dxa" w:w="120"/>
              <w:left w:type="dxa" w:w="200"/>
              <w:bottom w:type="dxa" w:w="120"/>
              <w:right w:type="dxa" w:w="160"/>
            </w:tcMar>
          </w:tcPr>
          <w:p>
            <w:pPr>
              <w:spacing w:after="60"/>
            </w:pPr>
            <w:r>
              <w:rPr>
                <w:rFonts w:ascii="Times New Roman" w:cs="Times New Roman" w:eastAsia="Times New Roman" w:hAnsi="Times New Roman"/>
                <w:b/>
                <w:bCs/>
                <w:color w:val="7B2D26"/>
                <w:sz w:val="22"/>
                <w:szCs w:val="22"/>
              </w:rPr>
              <w:t xml:space="preserve">Where the rope model stands on quantum correlations</w:t>
            </w:r>
          </w:p>
          <w:p>
            <w:pPr>
              <w:spacing w:after="60"/>
              <w:jc w:val="both"/>
            </w:pPr>
            <w:r>
              <w:rPr>
                <w:rFonts w:ascii="Times New Roman" w:cs="Times New Roman" w:eastAsia="Times New Roman" w:hAnsi="Times New Roman"/>
                <w:sz w:val="22"/>
                <w:szCs w:val="22"/>
              </w:rPr>
              <w:t xml:space="preserve">It is the right KIND of theory: non-local hidden-variable, genuinely exceeding the Bell bound, preserving no-signalling — all confirmed by explicit construction.</w:t>
            </w:r>
          </w:p>
          <w:p>
            <w:pPr>
              <w:spacing w:after="60"/>
              <w:jc w:val="both"/>
            </w:pPr>
            <w:r>
              <w:rPr>
                <w:rFonts w:ascii="Times New Roman" w:cs="Times New Roman" w:eastAsia="Times New Roman" w:hAnsi="Times New Roman"/>
                <w:sz w:val="22"/>
                <w:szCs w:val="22"/>
              </w:rPr>
              <w:t xml:space="preserve">It CAN carry the exact quantum correlation — cosine and Tsirelson — through a non-local joint update.</w:t>
            </w:r>
          </w:p>
          <w:p>
            <w:pPr>
              <w:spacing w:after="60"/>
              <w:jc w:val="both"/>
            </w:pPr>
            <w:r>
              <w:rPr>
                <w:rFonts w:ascii="Times New Roman" w:cs="Times New Roman" w:eastAsia="Times New Roman" w:hAnsi="Times New Roman"/>
                <w:sz w:val="22"/>
                <w:szCs w:val="22"/>
              </w:rPr>
              <w:t xml:space="preserve">It does NOT yet DERIVE that correlation: the update’s conditional was imposed, and the one ingredient needed to generate it — coupling to the Bloch angle, γ = 1 — is not forced by the current dynamics.</w:t>
            </w:r>
          </w:p>
          <w:p>
            <w:pPr>
              <w:spacing w:after="60"/>
              <w:jc w:val="both"/>
            </w:pPr>
            <w:r>
              <w:rPr>
                <w:rFonts w:ascii="Times New Roman" w:cs="Times New Roman" w:eastAsia="Times New Roman" w:hAnsi="Times New Roman"/>
                <w:sz w:val="22"/>
                <w:szCs w:val="22"/>
              </w:rPr>
              <w:t xml:space="preserve">The viability question is therefore neither answered yes nor no; it is LOCALISED to a single angle-identification, with both resolutions empirically decisive.</w:t>
            </w:r>
          </w:p>
        </w:tc>
      </w:tr>
    </w:tbl>
    <w:p>
      <w:pPr>
        <w:spacing w:after="160" w:before="0" w:line="276"/>
        <w:jc w:val="both"/>
      </w:pPr>
      <w:r>
        <w:rPr>
          <w:rFonts w:ascii="Times New Roman" w:cs="Times New Roman" w:eastAsia="Times New Roman" w:hAnsi="Times New Roman"/>
          <w:sz w:val="24"/>
          <w:szCs w:val="24"/>
        </w:rPr>
        <w:t xml:space="preserve">We resist two temptations. We do not claim the reproduction of the cosine as a success of the programme — it used an imposed conditional. And we do not claim the failure to derive γ as a refutation — the model is the correct kind of theory and is one identification away from working. The accurate statement is the narrow one: the rope model is a consistent non-local ontology whose agreement with quantum mechanics hinges entirely on whether its measurement dynamics select the base-sphere angle, which remains to be shown.</w:t>
      </w:r>
    </w:p>
    <w:p>
      <w:pPr>
        <w:spacing w:after="80"/>
      </w:pPr>
      <w:r>
        <w:rPr>
          <w:sz w:val="22"/>
          <w:szCs w:val="22"/>
        </w:rPr>
        <w:t xml:space="preserve"/>
      </w:r>
    </w:p>
    <w:p>
      <w:pPr>
        <w:pStyle w:val="Heading1"/>
        <w:spacing w:after="160" w:before="360"/>
      </w:pPr>
      <w:r>
        <w:rPr>
          <w:rFonts w:ascii="Times New Roman" w:cs="Times New Roman" w:eastAsia="Times New Roman" w:hAnsi="Times New Roman"/>
          <w:b/>
          <w:bCs/>
          <w:color w:val="1F3864"/>
          <w:sz w:val="28"/>
          <w:szCs w:val="28"/>
        </w:rPr>
        <w:t xml:space="preserve">9.  Status of Each Result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5400"/>
        <w:gridCol w:w="3960"/>
      </w:tblGrid>
      <w:tr>
        <w:tc>
          <w:tcPr>
            <w:tcW w:type="dxa" w:w="5400"/>
            <w:tcBorders>
              <w:top w:val="single" w:color="BBBBBB" w:sz="1"/>
              <w:left w:val="single" w:color="BBBBBB" w:sz="1"/>
              <w:bottom w:val="single" w:color="BBBBBB" w:sz="1"/>
              <w:right w:val="single" w:color="BBBBBB" w:sz="1"/>
            </w:tcBorders>
            <w:shd w:fill="D6E4F0" w:val="clear"/>
            <w:tcMar>
              <w:top w:type="dxa" w:w="80"/>
              <w:left w:type="dxa" w:w="120"/>
              <w:bottom w:type="dxa" w:w="80"/>
              <w:right w:type="dxa" w:w="120"/>
            </w:tcMar>
          </w:tcPr>
          <w:p>
            <w:pPr>
              <w:jc w:val="both"/>
            </w:pPr>
            <w:r>
              <w:rPr>
                <w:rFonts w:ascii="Times New Roman" w:cs="Times New Roman" w:eastAsia="Times New Roman" w:hAnsi="Times New Roman"/>
                <w:b/>
                <w:bCs/>
                <w:sz w:val="22"/>
                <w:szCs w:val="22"/>
              </w:rPr>
              <w:t xml:space="preserve">Result</w:t>
            </w:r>
          </w:p>
        </w:tc>
        <w:tc>
          <w:tcPr>
            <w:tcW w:type="dxa" w:w="3960"/>
            <w:tcBorders>
              <w:top w:val="single" w:color="BBBBBB" w:sz="1"/>
              <w:left w:val="single" w:color="BBBBBB" w:sz="1"/>
              <w:bottom w:val="single" w:color="BBBBBB" w:sz="1"/>
              <w:right w:val="single" w:color="BBBBBB" w:sz="1"/>
            </w:tcBorders>
            <w:shd w:fill="D6E4F0" w:val="clear"/>
            <w:tcMar>
              <w:top w:type="dxa" w:w="80"/>
              <w:left w:type="dxa" w:w="120"/>
              <w:bottom w:type="dxa" w:w="80"/>
              <w:right w:type="dxa" w:w="120"/>
            </w:tcMar>
          </w:tcPr>
          <w:p>
            <w:pPr>
              <w:jc w:val="both"/>
            </w:pPr>
            <w:r>
              <w:rPr>
                <w:rFonts w:ascii="Times New Roman" w:cs="Times New Roman" w:eastAsia="Times New Roman" w:hAnsi="Times New Roman"/>
                <w:b/>
                <w:bCs/>
                <w:sz w:val="22"/>
                <w:szCs w:val="22"/>
              </w:rPr>
              <w:t xml:space="preserve">Status</w:t>
            </w:r>
          </w:p>
        </w:tc>
      </w:tr>
      <w:tr>
        <w:tc>
          <w:tcPr>
            <w:tcW w:type="dxa" w:w="5400"/>
            <w:tcBorders>
              <w:top w:val="single" w:color="BBBBBB" w:sz="1"/>
              <w:left w:val="single" w:color="BBBBBB" w:sz="1"/>
              <w:bottom w:val="single" w:color="BBBBBB" w:sz="1"/>
              <w:right w:val="single" w:color="BBBBBB" w:sz="1"/>
            </w:tcBorders>
            <w:tcMar>
              <w:top w:type="dxa" w:w="80"/>
              <w:left w:type="dxa" w:w="120"/>
              <w:bottom w:type="dxa" w:w="80"/>
              <w:right w:type="dxa" w:w="120"/>
            </w:tcMar>
          </w:tcPr>
          <w:p>
            <w:pPr>
              <w:jc w:val="both"/>
            </w:pPr>
            <w:r>
              <w:rPr>
                <w:rFonts w:ascii="Times New Roman" w:cs="Times New Roman" w:eastAsia="Times New Roman" w:hAnsi="Times New Roman"/>
                <w:b w:val="false"/>
                <w:bCs w:val="false"/>
                <w:sz w:val="20"/>
                <w:szCs w:val="20"/>
              </w:rPr>
              <w:t xml:space="preserve">Local rope model falsified (CHSH ≤ 2, triangle wave)</w:t>
            </w:r>
          </w:p>
        </w:tc>
        <w:tc>
          <w:tcPr>
            <w:tcW w:type="dxa" w:w="3960"/>
            <w:tcBorders>
              <w:top w:val="single" w:color="BBBBBB" w:sz="1"/>
              <w:left w:val="single" w:color="BBBBBB" w:sz="1"/>
              <w:bottom w:val="single" w:color="BBBBBB" w:sz="1"/>
              <w:right w:val="single" w:color="BBBBBB" w:sz="1"/>
            </w:tcBorders>
            <w:tcMar>
              <w:top w:type="dxa" w:w="80"/>
              <w:left w:type="dxa" w:w="120"/>
              <w:bottom w:type="dxa" w:w="80"/>
              <w:right w:type="dxa" w:w="120"/>
            </w:tcMar>
          </w:tcPr>
          <w:p>
            <w:pPr>
              <w:jc w:val="both"/>
            </w:pPr>
            <w:r>
              <w:rPr>
                <w:rFonts w:ascii="Times New Roman" w:cs="Times New Roman" w:eastAsia="Times New Roman" w:hAnsi="Times New Roman"/>
                <w:b w:val="false"/>
                <w:bCs w:val="false"/>
                <w:sz w:val="20"/>
                <w:szCs w:val="20"/>
              </w:rPr>
              <w:t xml:space="preserve">Established — direct computation</w:t>
            </w:r>
          </w:p>
        </w:tc>
      </w:tr>
      <w:tr>
        <w:tc>
          <w:tcPr>
            <w:tcW w:type="dxa" w:w="5400"/>
            <w:tcBorders>
              <w:top w:val="single" w:color="BBBBBB" w:sz="1"/>
              <w:left w:val="single" w:color="BBBBBB" w:sz="1"/>
              <w:bottom w:val="single" w:color="BBBBBB" w:sz="1"/>
              <w:right w:val="single" w:color="BBBBBB" w:sz="1"/>
            </w:tcBorders>
            <w:tcMar>
              <w:top w:type="dxa" w:w="80"/>
              <w:left w:type="dxa" w:w="120"/>
              <w:bottom w:type="dxa" w:w="80"/>
              <w:right w:type="dxa" w:w="120"/>
            </w:tcMar>
          </w:tcPr>
          <w:p>
            <w:pPr>
              <w:jc w:val="both"/>
            </w:pPr>
            <w:r>
              <w:rPr>
                <w:rFonts w:ascii="Times New Roman" w:cs="Times New Roman" w:eastAsia="Times New Roman" w:hAnsi="Times New Roman"/>
                <w:b w:val="false"/>
                <w:bCs w:val="false"/>
                <w:sz w:val="20"/>
                <w:szCs w:val="20"/>
              </w:rPr>
              <w:t xml:space="preserve">Non-local update reproduces −cos(a−b) and Tsirelson</w:t>
            </w:r>
          </w:p>
        </w:tc>
        <w:tc>
          <w:tcPr>
            <w:tcW w:type="dxa" w:w="3960"/>
            <w:tcBorders>
              <w:top w:val="single" w:color="BBBBBB" w:sz="1"/>
              <w:left w:val="single" w:color="BBBBBB" w:sz="1"/>
              <w:bottom w:val="single" w:color="BBBBBB" w:sz="1"/>
              <w:right w:val="single" w:color="BBBBBB" w:sz="1"/>
            </w:tcBorders>
            <w:tcMar>
              <w:top w:type="dxa" w:w="80"/>
              <w:left w:type="dxa" w:w="120"/>
              <w:bottom w:type="dxa" w:w="80"/>
              <w:right w:type="dxa" w:w="120"/>
            </w:tcMar>
          </w:tcPr>
          <w:p>
            <w:pPr>
              <w:jc w:val="both"/>
            </w:pPr>
            <w:r>
              <w:rPr>
                <w:rFonts w:ascii="Times New Roman" w:cs="Times New Roman" w:eastAsia="Times New Roman" w:hAnsi="Times New Roman"/>
                <w:b w:val="false"/>
                <w:bCs w:val="false"/>
                <w:sz w:val="20"/>
                <w:szCs w:val="20"/>
              </w:rPr>
              <w:t xml:space="preserve">Established — but with an IMPOSED conditional</w:t>
            </w:r>
          </w:p>
        </w:tc>
      </w:tr>
      <w:tr>
        <w:tc>
          <w:tcPr>
            <w:tcW w:type="dxa" w:w="5400"/>
            <w:tcBorders>
              <w:top w:val="single" w:color="BBBBBB" w:sz="1"/>
              <w:left w:val="single" w:color="BBBBBB" w:sz="1"/>
              <w:bottom w:val="single" w:color="BBBBBB" w:sz="1"/>
              <w:right w:val="single" w:color="BBBBBB" w:sz="1"/>
            </w:tcBorders>
            <w:tcMar>
              <w:top w:type="dxa" w:w="80"/>
              <w:left w:type="dxa" w:w="120"/>
              <w:bottom w:type="dxa" w:w="80"/>
              <w:right w:type="dxa" w:w="120"/>
            </w:tcMar>
          </w:tcPr>
          <w:p>
            <w:pPr>
              <w:jc w:val="both"/>
            </w:pPr>
            <w:r>
              <w:rPr>
                <w:rFonts w:ascii="Times New Roman" w:cs="Times New Roman" w:eastAsia="Times New Roman" w:hAnsi="Times New Roman"/>
                <w:b w:val="false"/>
                <w:bCs w:val="false"/>
                <w:sz w:val="20"/>
                <w:szCs w:val="20"/>
              </w:rPr>
              <w:t xml:space="preserve">No-signalling holds for the update rule</w:t>
            </w:r>
          </w:p>
        </w:tc>
        <w:tc>
          <w:tcPr>
            <w:tcW w:type="dxa" w:w="3960"/>
            <w:tcBorders>
              <w:top w:val="single" w:color="BBBBBB" w:sz="1"/>
              <w:left w:val="single" w:color="BBBBBB" w:sz="1"/>
              <w:bottom w:val="single" w:color="BBBBBB" w:sz="1"/>
              <w:right w:val="single" w:color="BBBBBB" w:sz="1"/>
            </w:tcBorders>
            <w:tcMar>
              <w:top w:type="dxa" w:w="80"/>
              <w:left w:type="dxa" w:w="120"/>
              <w:bottom w:type="dxa" w:w="80"/>
              <w:right w:type="dxa" w:w="120"/>
            </w:tcMar>
          </w:tcPr>
          <w:p>
            <w:pPr>
              <w:jc w:val="both"/>
            </w:pPr>
            <w:r>
              <w:rPr>
                <w:rFonts w:ascii="Times New Roman" w:cs="Times New Roman" w:eastAsia="Times New Roman" w:hAnsi="Times New Roman"/>
                <w:b w:val="false"/>
                <w:bCs w:val="false"/>
                <w:sz w:val="20"/>
                <w:szCs w:val="20"/>
              </w:rPr>
              <w:t xml:space="preserve">Established — marginals independent of far setting</w:t>
            </w:r>
          </w:p>
        </w:tc>
      </w:tr>
      <w:tr>
        <w:tc>
          <w:tcPr>
            <w:tcW w:type="dxa" w:w="5400"/>
            <w:tcBorders>
              <w:top w:val="single" w:color="BBBBBB" w:sz="1"/>
              <w:left w:val="single" w:color="BBBBBB" w:sz="1"/>
              <w:bottom w:val="single" w:color="BBBBBB" w:sz="1"/>
              <w:right w:val="single" w:color="BBBBBB" w:sz="1"/>
            </w:tcBorders>
            <w:tcMar>
              <w:top w:type="dxa" w:w="80"/>
              <w:left w:type="dxa" w:w="120"/>
              <w:bottom w:type="dxa" w:w="80"/>
              <w:right w:type="dxa" w:w="120"/>
            </w:tcMar>
          </w:tcPr>
          <w:p>
            <w:pPr>
              <w:jc w:val="both"/>
            </w:pPr>
            <w:r>
              <w:rPr>
                <w:rFonts w:ascii="Times New Roman" w:cs="Times New Roman" w:eastAsia="Times New Roman" w:hAnsi="Times New Roman"/>
                <w:b w:val="false"/>
                <w:bCs w:val="false"/>
                <w:sz w:val="20"/>
                <w:szCs w:val="20"/>
              </w:rPr>
              <w:t xml:space="preserve">Model is genuinely non-local (not disguised-local)</w:t>
            </w:r>
          </w:p>
        </w:tc>
        <w:tc>
          <w:tcPr>
            <w:tcW w:type="dxa" w:w="3960"/>
            <w:tcBorders>
              <w:top w:val="single" w:color="BBBBBB" w:sz="1"/>
              <w:left w:val="single" w:color="BBBBBB" w:sz="1"/>
              <w:bottom w:val="single" w:color="BBBBBB" w:sz="1"/>
              <w:right w:val="single" w:color="BBBBBB" w:sz="1"/>
            </w:tcBorders>
            <w:tcMar>
              <w:top w:type="dxa" w:w="80"/>
              <w:left w:type="dxa" w:w="120"/>
              <w:bottom w:type="dxa" w:w="80"/>
              <w:right w:type="dxa" w:w="120"/>
            </w:tcMar>
          </w:tcPr>
          <w:p>
            <w:pPr>
              <w:jc w:val="both"/>
            </w:pPr>
            <w:r>
              <w:rPr>
                <w:rFonts w:ascii="Times New Roman" w:cs="Times New Roman" w:eastAsia="Times New Roman" w:hAnsi="Times New Roman"/>
                <w:b w:val="false"/>
                <w:bCs w:val="false"/>
                <w:sz w:val="20"/>
                <w:szCs w:val="20"/>
              </w:rPr>
              <w:t xml:space="preserve">Established — exceeds CHSH = 2</w:t>
            </w:r>
          </w:p>
        </w:tc>
      </w:tr>
      <w:tr>
        <w:tc>
          <w:tcPr>
            <w:tcW w:type="dxa" w:w="5400"/>
            <w:tcBorders>
              <w:top w:val="single" w:color="BBBBBB" w:sz="1"/>
              <w:left w:val="single" w:color="BBBBBB" w:sz="1"/>
              <w:bottom w:val="single" w:color="BBBBBB" w:sz="1"/>
              <w:right w:val="single" w:color="BBBBBB" w:sz="1"/>
            </w:tcBorders>
            <w:tcMar>
              <w:top w:type="dxa" w:w="80"/>
              <w:left w:type="dxa" w:w="120"/>
              <w:bottom w:type="dxa" w:w="80"/>
              <w:right w:type="dxa" w:w="120"/>
            </w:tcMar>
          </w:tcPr>
          <w:p>
            <w:pPr>
              <w:jc w:val="both"/>
            </w:pPr>
            <w:r>
              <w:rPr>
                <w:rFonts w:ascii="Times New Roman" w:cs="Times New Roman" w:eastAsia="Times New Roman" w:hAnsi="Times New Roman"/>
                <w:b w:val="false"/>
                <w:bCs w:val="false"/>
                <w:sz w:val="20"/>
                <w:szCs w:val="20"/>
              </w:rPr>
              <w:t xml:space="preserve">Spinor state space from the Hopf structure</w:t>
            </w:r>
          </w:p>
        </w:tc>
        <w:tc>
          <w:tcPr>
            <w:tcW w:type="dxa" w:w="3960"/>
            <w:tcBorders>
              <w:top w:val="single" w:color="BBBBBB" w:sz="1"/>
              <w:left w:val="single" w:color="BBBBBB" w:sz="1"/>
              <w:bottom w:val="single" w:color="BBBBBB" w:sz="1"/>
              <w:right w:val="single" w:color="BBBBBB" w:sz="1"/>
            </w:tcBorders>
            <w:tcMar>
              <w:top w:type="dxa" w:w="80"/>
              <w:left w:type="dxa" w:w="120"/>
              <w:bottom w:type="dxa" w:w="80"/>
              <w:right w:type="dxa" w:w="120"/>
            </w:tcMar>
          </w:tcPr>
          <w:p>
            <w:pPr>
              <w:jc w:val="both"/>
            </w:pPr>
            <w:r>
              <w:rPr>
                <w:rFonts w:ascii="Times New Roman" w:cs="Times New Roman" w:eastAsia="Times New Roman" w:hAnsi="Times New Roman"/>
                <w:b w:val="false"/>
                <w:bCs w:val="false"/>
                <w:sz w:val="20"/>
                <w:szCs w:val="20"/>
              </w:rPr>
              <w:t xml:space="preserve">Inherited — structural result of the programme</w:t>
            </w:r>
          </w:p>
        </w:tc>
      </w:tr>
      <w:tr>
        <w:tc>
          <w:tcPr>
            <w:tcW w:type="dxa" w:w="5400"/>
            <w:tcBorders>
              <w:top w:val="single" w:color="BBBBBB" w:sz="1"/>
              <w:left w:val="single" w:color="BBBBBB" w:sz="1"/>
              <w:bottom w:val="single" w:color="BBBBBB" w:sz="1"/>
              <w:right w:val="single" w:color="BBBBBB" w:sz="1"/>
            </w:tcBorders>
            <w:tcMar>
              <w:top w:type="dxa" w:w="80"/>
              <w:left w:type="dxa" w:w="120"/>
              <w:bottom w:type="dxa" w:w="80"/>
              <w:right w:type="dxa" w:w="120"/>
            </w:tcMar>
          </w:tcPr>
          <w:p>
            <w:pPr>
              <w:jc w:val="both"/>
            </w:pPr>
            <w:r>
              <w:rPr>
                <w:rFonts w:ascii="Times New Roman" w:cs="Times New Roman" w:eastAsia="Times New Roman" w:hAnsi="Times New Roman"/>
                <w:b w:val="false"/>
                <w:bCs w:val="false"/>
                <w:sz w:val="20"/>
                <w:szCs w:val="20"/>
              </w:rPr>
              <w:t xml:space="preserve">Born cos² = linearity in Bloch projection</w:t>
            </w:r>
          </w:p>
        </w:tc>
        <w:tc>
          <w:tcPr>
            <w:tcW w:type="dxa" w:w="3960"/>
            <w:tcBorders>
              <w:top w:val="single" w:color="BBBBBB" w:sz="1"/>
              <w:left w:val="single" w:color="BBBBBB" w:sz="1"/>
              <w:bottom w:val="single" w:color="BBBBBB" w:sz="1"/>
              <w:right w:val="single" w:color="BBBBBB" w:sz="1"/>
            </w:tcBorders>
            <w:tcMar>
              <w:top w:type="dxa" w:w="80"/>
              <w:left w:type="dxa" w:w="120"/>
              <w:bottom w:type="dxa" w:w="80"/>
              <w:right w:type="dxa" w:w="120"/>
            </w:tcMar>
          </w:tcPr>
          <w:p>
            <w:pPr>
              <w:jc w:val="both"/>
            </w:pPr>
            <w:r>
              <w:rPr>
                <w:rFonts w:ascii="Times New Roman" w:cs="Times New Roman" w:eastAsia="Times New Roman" w:hAnsi="Times New Roman"/>
                <w:b w:val="false"/>
                <w:bCs w:val="false"/>
                <w:sz w:val="20"/>
                <w:szCs w:val="20"/>
              </w:rPr>
              <w:t xml:space="preserve">Derived — half-angle identity (5.1)</w:t>
            </w:r>
          </w:p>
        </w:tc>
      </w:tr>
      <w:tr>
        <w:tc>
          <w:tcPr>
            <w:tcW w:type="dxa" w:w="5400"/>
            <w:tcBorders>
              <w:top w:val="single" w:color="BBBBBB" w:sz="1"/>
              <w:left w:val="single" w:color="BBBBBB" w:sz="1"/>
              <w:bottom w:val="single" w:color="BBBBBB" w:sz="1"/>
              <w:right w:val="single" w:color="BBBBBB" w:sz="1"/>
            </w:tcBorders>
            <w:tcMar>
              <w:top w:type="dxa" w:w="80"/>
              <w:left w:type="dxa" w:w="120"/>
              <w:bottom w:type="dxa" w:w="80"/>
              <w:right w:type="dxa" w:w="120"/>
            </w:tcMar>
          </w:tcPr>
          <w:p>
            <w:pPr>
              <w:jc w:val="both"/>
            </w:pPr>
            <w:r>
              <w:rPr>
                <w:rFonts w:ascii="Times New Roman" w:cs="Times New Roman" w:eastAsia="Times New Roman" w:hAnsi="Times New Roman"/>
                <w:b w:val="false"/>
                <w:bCs w:val="false"/>
                <w:sz w:val="20"/>
                <w:szCs w:val="20"/>
              </w:rPr>
              <w:t xml:space="preserve">Detector couples to Bloch angle (γ = 1)</w:t>
            </w:r>
          </w:p>
        </w:tc>
        <w:tc>
          <w:tcPr>
            <w:tcW w:type="dxa" w:w="3960"/>
            <w:tcBorders>
              <w:top w:val="single" w:color="BBBBBB" w:sz="1"/>
              <w:left w:val="single" w:color="BBBBBB" w:sz="1"/>
              <w:bottom w:val="single" w:color="BBBBBB" w:sz="1"/>
              <w:right w:val="single" w:color="BBBBBB" w:sz="1"/>
            </w:tcBorders>
            <w:tcMar>
              <w:top w:type="dxa" w:w="80"/>
              <w:left w:type="dxa" w:w="120"/>
              <w:bottom w:type="dxa" w:w="80"/>
              <w:right w:type="dxa" w:w="120"/>
            </w:tcMar>
          </w:tcPr>
          <w:p>
            <w:pPr>
              <w:jc w:val="both"/>
            </w:pPr>
            <w:r>
              <w:rPr>
                <w:rFonts w:ascii="Times New Roman" w:cs="Times New Roman" w:eastAsia="Times New Roman" w:hAnsi="Times New Roman"/>
                <w:b w:val="false"/>
                <w:bCs w:val="false"/>
                <w:sz w:val="20"/>
                <w:szCs w:val="20"/>
              </w:rPr>
              <w:t xml:space="preserve">OPEN — not forced by the dynamics; the whole viability turns on it</w:t>
            </w:r>
          </w:p>
        </w:tc>
      </w:tr>
      <w:tr>
        <w:tc>
          <w:tcPr>
            <w:tcW w:type="dxa" w:w="5400"/>
            <w:tcBorders>
              <w:top w:val="single" w:color="BBBBBB" w:sz="1"/>
              <w:left w:val="single" w:color="BBBBBB" w:sz="1"/>
              <w:bottom w:val="single" w:color="BBBBBB" w:sz="1"/>
              <w:right w:val="single" w:color="BBBBBB" w:sz="1"/>
            </w:tcBorders>
            <w:tcMar>
              <w:top w:type="dxa" w:w="80"/>
              <w:left w:type="dxa" w:w="120"/>
              <w:bottom w:type="dxa" w:w="80"/>
              <w:right w:type="dxa" w:w="120"/>
            </w:tcMar>
          </w:tcPr>
          <w:p>
            <w:pPr>
              <w:jc w:val="both"/>
            </w:pPr>
            <w:r>
              <w:rPr>
                <w:rFonts w:ascii="Times New Roman" w:cs="Times New Roman" w:eastAsia="Times New Roman" w:hAnsi="Times New Roman"/>
                <w:b w:val="false"/>
                <w:bCs w:val="false"/>
                <w:sz w:val="20"/>
                <w:szCs w:val="20"/>
              </w:rPr>
              <w:t xml:space="preserve">Rope dynamics uniquely generate the conditional</w:t>
            </w:r>
          </w:p>
        </w:tc>
        <w:tc>
          <w:tcPr>
            <w:tcW w:type="dxa" w:w="3960"/>
            <w:tcBorders>
              <w:top w:val="single" w:color="BBBBBB" w:sz="1"/>
              <w:left w:val="single" w:color="BBBBBB" w:sz="1"/>
              <w:bottom w:val="single" w:color="BBBBBB" w:sz="1"/>
              <w:right w:val="single" w:color="BBBBBB" w:sz="1"/>
            </w:tcBorders>
            <w:tcMar>
              <w:top w:type="dxa" w:w="80"/>
              <w:left w:type="dxa" w:w="120"/>
              <w:bottom w:type="dxa" w:w="80"/>
              <w:right w:type="dxa" w:w="120"/>
            </w:tcMar>
          </w:tcPr>
          <w:p>
            <w:pPr>
              <w:jc w:val="both"/>
            </w:pPr>
            <w:r>
              <w:rPr>
                <w:rFonts w:ascii="Times New Roman" w:cs="Times New Roman" w:eastAsia="Times New Roman" w:hAnsi="Times New Roman"/>
                <w:b w:val="false"/>
                <w:bCs w:val="false"/>
                <w:sz w:val="20"/>
                <w:szCs w:val="20"/>
              </w:rPr>
              <w:t xml:space="preserve">Open Problem — the central unmet step</w:t>
            </w:r>
          </w:p>
        </w:tc>
      </w:tr>
    </w:tbl>
    <w:p>
      <w:pPr>
        <w:spacing w:after="80"/>
      </w:pPr>
      <w:r>
        <w:rPr>
          <w:sz w:val="22"/>
          <w:szCs w:val="22"/>
        </w:rPr>
        <w:t xml:space="preserve"/>
      </w:r>
    </w:p>
    <w:p>
      <w:pPr>
        <w:pBdr>
          <w:bottom w:val="single" w:color="7B2D26" w:sz="6" w:space="1"/>
        </w:pBdr>
        <w:spacing w:after="0" w:before="0"/>
      </w:pPr>
      <w:r>
        <w:rPr>
          <w:sz w:val="22"/>
          <w:szCs w:val="22"/>
        </w:rPr>
        <w:t xml:space="preserve"/>
      </w:r>
    </w:p>
    <w:p>
      <w:pPr>
        <w:spacing w:after="80"/>
      </w:pPr>
      <w:r>
        <w:rPr>
          <w:sz w:val="22"/>
          <w:szCs w:val="22"/>
        </w:rPr>
        <w:t xml:space="preserve"/>
      </w:r>
    </w:p>
    <w:p>
      <w:r>
        <w:rPr>
          <w:b/>
        </w:rPr>
        <w:t>Addendum: The Measurement Problem Decomposed (QB-007, QB-008)</w:t>
      </w:r>
    </w:p>
    <w:p>
      <w:r>
        <w:t>The single-detector side of the measurement problem — distinct from the two-party CHSH wall treated above, which is unchanged by everything below — has been decomposed into three labeled parts, two closed and one isolated with quantitative bounds. (i) INDIVISIBILITY, Derived: linking and winding are homotopy invariants; a detection event that creates or flips a knot is all-or-nothing by topology (machine-checked, Hopf pair Lk = −1), which accounts for whole-unit arrivals and their dim-the-source form (fixed-size events at reduced rate). (ii) BENCHMARKED QUADRATIC DETECTION-RATE SCALING under threshold dynamics (weak-field regime): a nucleation site is a threshold (barrier-escape) system, and simulated Kramers dynamics under weak periodic driving gives a rate enhancement scaling as amplitude^1.7–2.1 against a pre-committed 2.0 ± 0.3 bar — threshold crossing responds to energy, so single-site click rates scale as |ψ|²; twenty thousand one-at-a-time draws rebuild the two-slit fringes at correlation 0.997. The interpretation of this scaling as a BORN MECHANISM is conditional: it follows if the threshold (nucleation-barrier) model is the correct physical description of detection, which is itself part of the conjecture under test, not an established fact. The circularity is declared: the derivational content is the exponent; the fringes are the exponent plus geometry. This parallels known semiclassical detection theory and is claimed as a registered decomposition within the mesh framework, not as a novel result about detectors. Benchmark: benchmarks/bell/knot_nucleation_measurement.py.</w:t>
      </w:r>
    </w:p>
    <w:p>
      <w:r>
        <w:t>(iii) THE ISOLATED CORE, registered as a negative with the discriminator quantified: anticorrelation. For any classical field driving independent threshold sites, Cauchy–Schwarz pins g²(0) ≥ 1 (coherent drive: exactly 1, machine-checked at 2×10⁶ windows; fluctuating drive: bunched, ≈ 1.96), while the measured single-photon value is ≈ 0.18 (Grangier–Roger–Aspect 1986; modern values ≈ 0). Winner-take-all localization therefore requires the firing site to deplete the wave at spacelike separation. QB-008 corners that requirement: Bell-timing experiments (Salart et al. 2008; Yin et al. 2013) bound any preferred-frame influence at v &gt; 1.38×10⁴ c for frames within ~10⁻³ c of Earth — a class containing the CMB rest frame, the mesh frame's natural identification — which via v_L/c = √(K_L/K_T) demands a strand stretch-to-transverse stiffness ratio of at least 1.9×10⁸; and the Bancal et al. (2012) theorem excludes ALL finite speeds (finite-v influence models enable unobserved macroscopic signaling), forcing the conjecture onto the instantaneous-constraint limb. That limb is the ideal limit of the P-VOL near-inextensibility postulate itself — an ideal string propagates tension changes instantaneously, while transverse dynamics remains luminal and the longitudinal channel dark — a consistency, explicitly not a confirmation. Status: the conjecture remains a Conjecture, now with one precisely specified limb, a quantified mechanical demand, and no middle ground; what would move it is a demonstration that instantaneous constraint propagation quantitatively produces g² ≈ 0, which is nobody's result yet. Benchmark: benchmarks/bell/depletion_speed_bounds.py.</w:t>
      </w:r>
    </w:p>
    <w:p>
      <w:r>
        <w:t>POSITIONING (QB-010, closing the arc). The cornered limb is not unexplored territory: it is the territory of de Broglie–Bohm pilot-wave theory (de Broglie 1927; Bohm 1952), a preferred-frame instantaneous-influence account that reproduces all of quantum mechanics in equilibrium, including CHSH = 2√2 — an existence proof that the limb is viable, with priority belonging entirely to Bohm. The remaining gap is machine-localized by the adjacency benchmark: the identical first-arrival race yields S = 1.418 with per-particle budgets in physical space (the honest mesh ontology) and S = 2.833 when the rates are drawn from the entangled state's joint intensities on configuration space (imported, not derived); one structural change crosses the quantum gap, so the open question is precisely whether configuration-space guidance can emerge from physical-space mesh mechanics — a reconstruction problem recognized as open within Bohmian foundations itself (Norsen 2010). The ledger runs both ways: Bohm has entanglement and seven decades of development; the mesh has a derived indivisibility (dBB postulates point particles), an independently motivated preferred foliation with a quantified mechanical demand (K_L/K_T ≥ 1.9×10⁸), and the contamination-structure match of the measured g². With this registration the measurement arc reaches its planned stop: decomposed, bounded, cornered, demonstrated sufficient, and positioned. Benchmark: benchmarks/bell/bohmian_adjacency.py.</w:t>
      </w:r>
    </w:p>
    <w:p>
      <w:r>
        <w:rPr>
          <w:b/>
        </w:rPr>
        <w:t>Status Table: The Measurement Programme at a Glance</w:t>
      </w:r>
    </w:p>
    <w:tbl>
      <w:tblPr>
        <w:tblW w:type="auto" w:w="0"/>
        <w:tblLook w:firstColumn="1" w:firstRow="1" w:lastColumn="0" w:lastRow="0" w:noHBand="0" w:noVBand="1" w:val="04A0"/>
      </w:tblPr>
      <w:tblGrid>
        <w:gridCol w:w="3120"/>
        <w:gridCol w:w="3120"/>
        <w:gridCol w:w="3120"/>
      </w:tblGrid>
      <w:tr>
        <w:tc>
          <w:tcPr>
            <w:tcW w:type="dxa" w:w="3120"/>
          </w:tcPr>
          <w:p>
            <w:r>
              <w:rPr>
                <w:b/>
              </w:rPr>
              <w:t>Measurement component</w:t>
            </w:r>
          </w:p>
        </w:tc>
        <w:tc>
          <w:tcPr>
            <w:tcW w:type="dxa" w:w="3120"/>
          </w:tcPr>
          <w:p>
            <w:r>
              <w:rPr>
                <w:b/>
              </w:rPr>
              <w:t>Status</w:t>
            </w:r>
          </w:p>
        </w:tc>
        <w:tc>
          <w:tcPr>
            <w:tcW w:type="dxa" w:w="3120"/>
          </w:tcPr>
          <w:p>
            <w:r>
              <w:rPr>
                <w:b/>
              </w:rPr>
              <w:t>Evidence</w:t>
            </w:r>
          </w:p>
        </w:tc>
      </w:tr>
      <w:tr>
        <w:tc>
          <w:tcPr>
            <w:tcW w:type="dxa" w:w="3120"/>
          </w:tcPr>
          <w:p>
            <w:r>
              <w:t>Topological indivisibility</w:t>
            </w:r>
          </w:p>
        </w:tc>
        <w:tc>
          <w:tcPr>
            <w:tcW w:type="dxa" w:w="3120"/>
          </w:tcPr>
          <w:p>
            <w:r>
              <w:t>Derived</w:t>
            </w:r>
          </w:p>
        </w:tc>
        <w:tc>
          <w:tcPr>
            <w:tcW w:type="dxa" w:w="3120"/>
          </w:tcPr>
          <w:p>
            <w:r>
              <w:t>Homotopy invariance; Hopf Lk = −1 benchmark (QB-007)</w:t>
            </w:r>
          </w:p>
        </w:tc>
      </w:tr>
      <w:tr>
        <w:tc>
          <w:tcPr>
            <w:tcW w:type="dxa" w:w="3120"/>
          </w:tcPr>
          <w:p>
            <w:r>
              <w:t>Threshold rate scaling (∝|ψ|²)</w:t>
            </w:r>
          </w:p>
        </w:tc>
        <w:tc>
          <w:tcPr>
            <w:tcW w:type="dxa" w:w="3120"/>
          </w:tcPr>
          <w:p>
            <w:r>
              <w:t>Benchmarked</w:t>
            </w:r>
          </w:p>
        </w:tc>
        <w:tc>
          <w:tcPr>
            <w:tcW w:type="dxa" w:w="3120"/>
          </w:tcPr>
          <w:p>
            <w:r>
              <w:t>Kramers escape simulations, exponent ≈ 2 (weak-field regime; Born interpretation conditional on the threshold model)</w:t>
            </w:r>
          </w:p>
        </w:tc>
      </w:tr>
      <w:tr>
        <w:tc>
          <w:tcPr>
            <w:tcW w:type="dxa" w:w="3120"/>
          </w:tcPr>
          <w:p>
            <w:r>
              <w:t>Interference reconstruction</w:t>
            </w:r>
          </w:p>
        </w:tc>
        <w:tc>
          <w:tcPr>
            <w:tcW w:type="dxa" w:w="3120"/>
          </w:tcPr>
          <w:p>
            <w:r>
              <w:t>Benchmarked</w:t>
            </w:r>
          </w:p>
        </w:tc>
        <w:tc>
          <w:tcPr>
            <w:tcW w:type="dxa" w:w="3120"/>
          </w:tcPr>
          <w:p>
            <w:r>
              <w:t>20,000-event one-at-a-time simulation, r = 0.997–0.999</w:t>
            </w:r>
          </w:p>
        </w:tc>
      </w:tr>
      <w:tr>
        <w:tc>
          <w:tcPr>
            <w:tcW w:type="dxa" w:w="3120"/>
          </w:tcPr>
          <w:p>
            <w:r>
              <w:t>Per-quantum Born probability P(i) = I_i/ΣI</w:t>
            </w:r>
          </w:p>
        </w:tc>
        <w:tc>
          <w:tcPr>
            <w:tcW w:type="dxa" w:w="3120"/>
          </w:tcPr>
          <w:p>
            <w:r>
              <w:t>Modeled (exact within the toy)</w:t>
            </w:r>
          </w:p>
        </w:tc>
        <w:tc>
          <w:tcPr>
            <w:tcW w:type="dxa" w:w="3120"/>
          </w:tcPr>
          <w:p>
            <w:r>
              <w:t>Competing-exponentials identity, verified 6×10⁻⁴ (QB-009)</w:t>
            </w:r>
          </w:p>
        </w:tc>
      </w:tr>
      <w:tr>
        <w:tc>
          <w:tcPr>
            <w:tcW w:type="dxa" w:w="3120"/>
          </w:tcPr>
          <w:p>
            <w:r>
              <w:t>Anticorrelation (single site fires)</w:t>
            </w:r>
          </w:p>
        </w:tc>
        <w:tc>
          <w:tcPr>
            <w:tcW w:type="dxa" w:w="3120"/>
          </w:tcPr>
          <w:p>
            <w:r>
              <w:t>Negative result / sufficiency split</w:t>
            </w:r>
          </w:p>
        </w:tc>
        <w:tc>
          <w:tcPr>
            <w:tcW w:type="dxa" w:w="3120"/>
          </w:tcPr>
          <w:p>
            <w:r>
              <w:t>Classical threshold model pinned at g² ≥ 1 vs measured ≈0.18 (QB-007); conservation toy with instantaneous budget gives g² = 0 (QB-009) — sufficiency, not truth</w:t>
            </w:r>
          </w:p>
        </w:tc>
      </w:tr>
      <w:tr>
        <w:tc>
          <w:tcPr>
            <w:tcW w:type="dxa" w:w="3120"/>
          </w:tcPr>
          <w:p>
            <w:r>
              <w:t>Winner-take-all mechanism</w:t>
            </w:r>
          </w:p>
        </w:tc>
        <w:tc>
          <w:tcPr>
            <w:tcW w:type="dxa" w:w="3120"/>
          </w:tcPr>
          <w:p>
            <w:r>
              <w:t>Conjecture</w:t>
            </w:r>
          </w:p>
        </w:tc>
        <w:tc>
          <w:tcPr>
            <w:tcW w:type="dxa" w:w="3120"/>
          </w:tcPr>
          <w:p>
            <w:r>
              <w:t>Cornered to the instantaneous-constraint limb; v &gt; 1.38×10⁴ c, K_L/K_T ≥ 1.9×10⁸ (QB-008)</w:t>
            </w:r>
          </w:p>
        </w:tc>
      </w:tr>
      <w:tr>
        <w:tc>
          <w:tcPr>
            <w:tcW w:type="dxa" w:w="3120"/>
          </w:tcPr>
          <w:p>
            <w:r>
              <w:t>CHSH correlation</w:t>
            </w:r>
          </w:p>
        </w:tc>
        <w:tc>
          <w:tcPr>
            <w:tcW w:type="dxa" w:w="3120"/>
          </w:tcPr>
          <w:p>
            <w:r>
              <w:t>γ identified (Modeled; conditional on threshold model)</w:t>
            </w:r>
          </w:p>
        </w:tc>
        <w:tc>
          <w:tcPr>
            <w:tcW w:type="dxa" w:w="3120"/>
          </w:tcPr>
          <w:p>
            <w:r>
              <w:t>γ = 1 by three constraints: energy detection projects onto the S² base (exact); relabeling consistency forces γ odd; measured exponent p = 1.97–2.01 selects 1 over 3 (QB-011). Remaining import: the nonlocal conditional itself (QB-010, S = 1.418 vs 2.833).</w:t>
            </w:r>
          </w:p>
        </w:tc>
      </w:tr>
    </w:tbl>
    <w:p>
      <w:r>
        <w:t>GAMMA IDENTIFIED (QB-011, closing Sec. 5's open item). The angle identification this paper reduced the programme to is now fixed by three independent, machine-checked constraints. Structure: the spinor coordinatization of the Hopf bundle places the half base-angle in the channel amplitude, and the energy-threshold detector squares it — |cos(θ/2)|² = (1+cos θ)/2 — linear in the full base-sphere cosine and exactly fibre-blind: the irreversible measurement projects onto the S² base, not the fibre. Consistency: setting-relabeling antisymmetry plus 2π periodicity force γ to be an odd integer, so γ = ½ is ill-defined on physical settings a priori. Dynamics: the benchmarked threshold exponent gives γ = p/2 = 0.87, selecting γ = 1 and excluding γ = 3 (which would require p = 6); the identification inherits the threshold model's declared conditionality. One correction to Sec. 7's framing is registered honestly: with free analyzer angles the CHSH maximum is γ-invariant (rescaling absorbs γ), so the fixed-angle value S(½) = 2.39 was never by itself the discriminator; the consistency constraint and the angle law at known settings (E(90°) = 0 for γ = 1 vs −0.71 for γ = ½) do that work, and measured Bell data satisfy γ = 1 alone. Scope: the CHSH wall is not crossed — the imported ingredient is now exactly and only the nonlocal conditional itself (the configuration-space object of the adjacency benchmark). Benchmark: benchmarks/bell/gamma_identification.py.</w:t>
      </w:r>
    </w:p>
    <w:p>
      <w:r>
        <w:t>THE ANGLE IDENTIFIED (QB-011, closing Section 7's open item). The γ identification this paper requested has been made, by three independent machine-checked constraints. STRUCTURE: the spinor coordinatization of the Hopf bundle places the half base-angle in the channel amplitude; an energy detector squares it, |cos(θ/2)|² = (1+cosθ)/2 — linear in the full base-sphere cosine and identically fibre-blind — so the irreversible energy measurement projects onto the S² base, not the fibre: γ = 1 is what square-law detection means on the Hopf bundle. CONSISTENCY: setting-relabeling antisymmetry E(θ+π) = −E(θ) plus 2π periodicity force γ to be an odd integer, excluding γ = ½ a priori. DYNAMICS: γ = p/2, and the paired-ensemble threshold measurement gives p = 1.97–2.01, selecting γ = 1 and excluding γ = 3 (which would require p = 6). An honest correction is registered alongside: the fixed-standard-angle map quoted in Section 7 (S(½) = 2.39) is reproduced exactly, but with free analyzer angles the CHSH maximum is γ-invariant under rescaling — the empirically sharp discriminators are the consistency constraint and the angle law itself (E(90°) = 0 for γ = 1 vs −0.71 for γ = ½), which measured Bell data satisfy for γ = 1 alone. The identification is conditional on the threshold detection model (the standing QB-007 caveat); the structure and consistency limbs are unconditional. SCOPE: this does not cross the CHSH wall — the nonlocal conditional (the configuration-space object of the adjacency benchmark) remains the imported ingredient. The paper's ledger thus moves: from 'reproduce the cosine' (open programme) through 'derive one angle identification' (Section 7) to 'the angle is identified; the remaining import is the nonlocal conditional itself.' Benchmark: benchmarks/bell/gamma_identification.py.</w:t>
      </w:r>
    </w:p>
    <w:p>
      <w:pPr>
        <w:pStyle w:val="Heading1"/>
        <w:spacing w:after="160" w:before="360"/>
      </w:pPr>
      <w:r>
        <w:rPr>
          <w:rFonts w:ascii="Times New Roman" w:cs="Times New Roman" w:eastAsia="Times New Roman" w:hAnsi="Times New Roman"/>
          <w:b/>
          <w:bCs/>
          <w:color w:val="1F3864"/>
          <w:sz w:val="28"/>
          <w:szCs w:val="28"/>
        </w:rPr>
        <w:t xml:space="preserve">Appendix A.  Dependency Graph</w:t>
      </w:r>
    </w:p>
    <w:p>
      <w:pPr>
        <w:spacing w:after="160" w:before="0" w:line="276"/>
        <w:jc w:val="both"/>
      </w:pPr>
      <w:r>
        <w:rPr>
          <w:rFonts w:ascii="Times New Roman" w:cs="Times New Roman" w:eastAsia="Times New Roman" w:hAnsi="Times New Roman"/>
          <w:sz w:val="24"/>
          <w:szCs w:val="24"/>
        </w:rPr>
        <w:t xml:space="preserve">What closes (solid) and the single step that does not (dashed).</w:t>
      </w:r>
    </w:p>
    <w:p>
      <w:pPr>
        <w:spacing w:after="80"/>
      </w:pPr>
      <w:r>
        <w:rPr>
          <w:sz w:val="22"/>
          <w:szCs w:val="22"/>
        </w:rPr>
        <w:t xml:space="preserve"/>
      </w:r>
    </w:p>
    <w:p>
      <w:pPr>
        <w:spacing w:after="20" w:before="20"/>
        <w:jc w:val="center"/>
      </w:pPr>
      <w:r>
        <w:rPr>
          <w:rFonts w:ascii="Courier New" w:cs="Courier New" w:eastAsia="Courier New" w:hAnsi="Courier New"/>
          <w:color w:val="1F3864"/>
          <w:sz w:val="21"/>
          <w:szCs w:val="21"/>
        </w:rPr>
        <w:t xml:space="preserve">Foundations: rope entanglement =&gt; NON-LOCAL hidden variable</w:t>
      </w:r>
      <w:r>
        <w:rPr>
          <w:rFonts w:ascii="Times New Roman" w:cs="Times New Roman" w:eastAsia="Times New Roman" w:hAnsi="Times New Roman"/>
          <w:i/>
          <w:iCs/>
          <w:color w:val="666666"/>
          <w:sz w:val="18"/>
          <w:szCs w:val="18"/>
        </w:rPr>
        <w:t xml:space="preserve">   [established]</w:t>
      </w:r>
    </w:p>
    <w:p>
      <w:pPr>
        <w:spacing w:after="20" w:before="20"/>
        <w:jc w:val="center"/>
      </w:pPr>
      <w:r>
        <w:rPr>
          <w:rFonts w:ascii="Courier New" w:cs="Courier New" w:eastAsia="Courier New" w:hAnsi="Courier New"/>
          <w:color w:val="1F3864"/>
          <w:sz w:val="21"/>
          <w:szCs w:val="21"/>
        </w:rPr>
        <w:t xml:space="preserve">|</w:t>
      </w:r>
    </w:p>
    <w:p>
      <w:pPr>
        <w:spacing w:after="20" w:before="20"/>
        <w:jc w:val="center"/>
      </w:pPr>
      <w:r>
        <w:rPr>
          <w:rFonts w:ascii="Courier New" w:cs="Courier New" w:eastAsia="Courier New" w:hAnsi="Courier New"/>
          <w:color w:val="1F3864"/>
          <w:sz w:val="21"/>
          <w:szCs w:val="21"/>
        </w:rPr>
        <w:t xml:space="preserve">v</w:t>
      </w:r>
    </w:p>
    <w:p>
      <w:pPr>
        <w:spacing w:after="20" w:before="20"/>
        <w:jc w:val="center"/>
      </w:pPr>
      <w:r>
        <w:rPr>
          <w:rFonts w:ascii="Courier New" w:cs="Courier New" w:eastAsia="Courier New" w:hAnsi="Courier New"/>
          <w:color w:val="1F3864"/>
          <w:sz w:val="21"/>
          <w:szCs w:val="21"/>
        </w:rPr>
        <w:t xml:space="preserve">local rope model  ---&gt;  CHSH &lt;= 2, triangle wave</w:t>
      </w:r>
      <w:r>
        <w:rPr>
          <w:rFonts w:ascii="Times New Roman" w:cs="Times New Roman" w:eastAsia="Times New Roman" w:hAnsi="Times New Roman"/>
          <w:i/>
          <w:iCs/>
          <w:color w:val="666666"/>
          <w:sz w:val="18"/>
          <w:szCs w:val="18"/>
        </w:rPr>
        <w:t xml:space="preserve">   [FALSIFIED, solid]</w:t>
      </w:r>
    </w:p>
    <w:p>
      <w:pPr>
        <w:spacing w:after="20" w:before="20"/>
        <w:jc w:val="center"/>
      </w:pPr>
      <w:r>
        <w:rPr>
          <w:rFonts w:ascii="Courier New" w:cs="Courier New" w:eastAsia="Courier New" w:hAnsi="Courier New"/>
          <w:color w:val="1F3864"/>
          <w:sz w:val="21"/>
          <w:szCs w:val="21"/>
        </w:rPr>
        <w:t xml:space="preserve">|</w:t>
      </w:r>
    </w:p>
    <w:p>
      <w:pPr>
        <w:spacing w:after="20" w:before="20"/>
        <w:jc w:val="center"/>
      </w:pPr>
      <w:r>
        <w:rPr>
          <w:rFonts w:ascii="Courier New" w:cs="Courier New" w:eastAsia="Courier New" w:hAnsi="Courier New"/>
          <w:color w:val="1F3864"/>
          <w:sz w:val="21"/>
          <w:szCs w:val="21"/>
        </w:rPr>
        <w:t xml:space="preserve">v  add non-local joint update</w:t>
      </w:r>
    </w:p>
    <w:p>
      <w:pPr>
        <w:spacing w:after="20" w:before="20"/>
        <w:jc w:val="center"/>
      </w:pPr>
      <w:r>
        <w:rPr>
          <w:rFonts w:ascii="Courier New" w:cs="Courier New" w:eastAsia="Courier New" w:hAnsi="Courier New"/>
          <w:color w:val="1F3864"/>
          <w:sz w:val="21"/>
          <w:szCs w:val="21"/>
        </w:rPr>
        <w:t xml:space="preserve">cosine + Tsirelson (2.83)      no-signalling holds</w:t>
      </w:r>
      <w:r>
        <w:rPr>
          <w:rFonts w:ascii="Times New Roman" w:cs="Times New Roman" w:eastAsia="Times New Roman" w:hAnsi="Times New Roman"/>
          <w:i/>
          <w:iCs/>
          <w:color w:val="666666"/>
          <w:sz w:val="18"/>
          <w:szCs w:val="18"/>
        </w:rPr>
        <w:t xml:space="preserve">   [solid, but conditional IMPOSED]</w:t>
      </w:r>
    </w:p>
    <w:p>
      <w:pPr>
        <w:spacing w:after="20" w:before="20"/>
        <w:jc w:val="center"/>
      </w:pPr>
      <w:r>
        <w:rPr>
          <w:rFonts w:ascii="Courier New" w:cs="Courier New" w:eastAsia="Courier New" w:hAnsi="Courier New"/>
          <w:color w:val="1F3864"/>
          <w:sz w:val="21"/>
          <w:szCs w:val="21"/>
        </w:rPr>
        <w:t xml:space="preserve">|                                    |</w:t>
      </w:r>
    </w:p>
    <w:p>
      <w:pPr>
        <w:spacing w:after="20" w:before="20"/>
        <w:jc w:val="center"/>
      </w:pPr>
      <w:r>
        <w:rPr>
          <w:rFonts w:ascii="Courier New" w:cs="Courier New" w:eastAsia="Courier New" w:hAnsi="Courier New"/>
          <w:color w:val="1F3864"/>
          <w:sz w:val="21"/>
          <w:szCs w:val="21"/>
        </w:rPr>
        <w:t xml:space="preserve">v                                    v</w:t>
      </w:r>
    </w:p>
    <w:p>
      <w:pPr>
        <w:spacing w:after="20" w:before="20"/>
        <w:jc w:val="center"/>
      </w:pPr>
      <w:r>
        <w:rPr>
          <w:rFonts w:ascii="Courier New" w:cs="Courier New" w:eastAsia="Courier New" w:hAnsi="Courier New"/>
          <w:color w:val="1F3864"/>
          <w:sz w:val="21"/>
          <w:szCs w:val="21"/>
        </w:rPr>
        <w:t xml:space="preserve">genuinely non-local (&gt;2)       marginals carry no signal</w:t>
      </w:r>
      <w:r>
        <w:rPr>
          <w:rFonts w:ascii="Times New Roman" w:cs="Times New Roman" w:eastAsia="Times New Roman" w:hAnsi="Times New Roman"/>
          <w:i/>
          <w:iCs/>
          <w:color w:val="666666"/>
          <w:sz w:val="18"/>
          <w:szCs w:val="18"/>
        </w:rPr>
        <w:t xml:space="preserve">   [both solid]</w:t>
      </w:r>
    </w:p>
    <w:p>
      <w:pPr>
        <w:spacing w:after="20" w:before="20"/>
        <w:jc w:val="center"/>
      </w:pPr>
      <w:r>
        <w:rPr>
          <w:rFonts w:ascii="Courier New" w:cs="Courier New" w:eastAsia="Courier New" w:hAnsi="Courier New"/>
          <w:color w:val="1F3864"/>
          <w:sz w:val="21"/>
          <w:szCs w:val="21"/>
        </w:rPr>
        <w:t xml:space="preserve">|</w:t>
      </w:r>
    </w:p>
    <w:p>
      <w:pPr>
        <w:spacing w:after="20" w:before="20"/>
        <w:jc w:val="center"/>
      </w:pPr>
      <w:r>
        <w:rPr>
          <w:rFonts w:ascii="Courier New" w:cs="Courier New" w:eastAsia="Courier New" w:hAnsi="Courier New"/>
          <w:color w:val="1F3864"/>
          <w:sz w:val="21"/>
          <w:szCs w:val="21"/>
        </w:rPr>
        <w:t xml:space="preserve">v  derive the conditional from rope dynamics</w:t>
      </w:r>
    </w:p>
    <w:p>
      <w:pPr>
        <w:spacing w:after="20" w:before="20"/>
        <w:jc w:val="center"/>
      </w:pPr>
      <w:r>
        <w:rPr>
          <w:rFonts w:ascii="Courier New" w:cs="Courier New" w:eastAsia="Courier New" w:hAnsi="Courier New"/>
          <w:color w:val="1F3864"/>
          <w:sz w:val="21"/>
          <w:szCs w:val="21"/>
        </w:rPr>
        <w:t xml:space="preserve">spinor state space (Hopf)  +  Born = linear-in-projection</w:t>
      </w:r>
      <w:r>
        <w:rPr>
          <w:rFonts w:ascii="Times New Roman" w:cs="Times New Roman" w:eastAsia="Times New Roman" w:hAnsi="Times New Roman"/>
          <w:i/>
          <w:iCs/>
          <w:color w:val="666666"/>
          <w:sz w:val="18"/>
          <w:szCs w:val="18"/>
        </w:rPr>
        <w:t xml:space="preserve">   [solid]</w:t>
      </w:r>
    </w:p>
    <w:p>
      <w:pPr>
        <w:spacing w:after="20" w:before="20"/>
        <w:jc w:val="center"/>
      </w:pPr>
      <w:r>
        <w:rPr>
          <w:rFonts w:ascii="Courier New" w:cs="Courier New" w:eastAsia="Courier New" w:hAnsi="Courier New"/>
          <w:color w:val="1F3864"/>
          <w:sz w:val="21"/>
          <w:szCs w:val="21"/>
        </w:rPr>
        <w:t xml:space="preserve">|</w:t>
      </w:r>
    </w:p>
    <w:p>
      <w:pPr>
        <w:spacing w:after="20" w:before="20"/>
        <w:jc w:val="center"/>
      </w:pPr>
      <w:r>
        <w:rPr>
          <w:rFonts w:ascii="Courier New" w:cs="Courier New" w:eastAsia="Courier New" w:hAnsi="Courier New"/>
          <w:color w:val="1F3864"/>
          <w:sz w:val="21"/>
          <w:szCs w:val="21"/>
        </w:rPr>
        <w:t xml:space="preserve">v</w:t>
      </w:r>
    </w:p>
    <w:p>
      <w:pPr>
        <w:spacing w:after="20" w:before="20"/>
        <w:jc w:val="center"/>
      </w:pPr>
      <w:r>
        <w:rPr>
          <w:rFonts w:ascii="Courier New" w:cs="Courier New" w:eastAsia="Courier New" w:hAnsi="Courier New"/>
          <w:color w:val="1F3864"/>
          <w:sz w:val="21"/>
          <w:szCs w:val="21"/>
        </w:rPr>
        <w:t xml:space="preserve">- - - detector couples to Bloch angle, gamma = 1? - - -</w:t>
      </w:r>
      <w:r>
        <w:rPr>
          <w:rFonts w:ascii="Times New Roman" w:cs="Times New Roman" w:eastAsia="Times New Roman" w:hAnsi="Times New Roman"/>
          <w:i/>
          <w:iCs/>
          <w:color w:val="666666"/>
          <w:sz w:val="18"/>
          <w:szCs w:val="18"/>
        </w:rPr>
        <w:t xml:space="preserve">   [OPEN, dashed]</w:t>
      </w:r>
    </w:p>
    <w:p>
      <w:pPr>
        <w:spacing w:after="20" w:before="20"/>
        <w:jc w:val="center"/>
      </w:pPr>
      <w:r>
        <w:rPr>
          <w:rFonts w:ascii="Courier New" w:cs="Courier New" w:eastAsia="Courier New" w:hAnsi="Courier New"/>
          <w:color w:val="1F3864"/>
          <w:sz w:val="21"/>
          <w:szCs w:val="21"/>
        </w:rPr>
        <w:t xml:space="preserve">|</w:t>
      </w:r>
    </w:p>
    <w:p>
      <w:pPr>
        <w:spacing w:after="20" w:before="20"/>
        <w:jc w:val="center"/>
      </w:pPr>
      <w:r>
        <w:rPr>
          <w:rFonts w:ascii="Courier New" w:cs="Courier New" w:eastAsia="Courier New" w:hAnsi="Courier New"/>
          <w:color w:val="1F3864"/>
          <w:sz w:val="21"/>
          <w:szCs w:val="21"/>
        </w:rPr>
        <w:t xml:space="preserve">v</w:t>
      </w:r>
    </w:p>
    <w:p>
      <w:pPr>
        <w:spacing w:after="20" w:before="20"/>
        <w:jc w:val="center"/>
      </w:pPr>
      <w:r>
        <w:rPr>
          <w:rFonts w:ascii="Courier New" w:cs="Courier New" w:eastAsia="Courier New" w:hAnsi="Courier New"/>
          <w:color w:val="1F3864"/>
          <w:sz w:val="21"/>
          <w:szCs w:val="21"/>
        </w:rPr>
        <w:t xml:space="preserve">gamma=1 =&gt; quantum   |   gamma!=1 =&gt; falsified</w:t>
      </w:r>
      <w:r>
        <w:rPr>
          <w:rFonts w:ascii="Times New Roman" w:cs="Times New Roman" w:eastAsia="Times New Roman" w:hAnsi="Times New Roman"/>
          <w:i/>
          <w:iCs/>
          <w:color w:val="666666"/>
          <w:sz w:val="18"/>
          <w:szCs w:val="18"/>
        </w:rPr>
        <w:t xml:space="preserve">   [decision point]</w:t>
      </w:r>
    </w:p>
    <w:p>
      <w:pPr>
        <w:spacing w:after="80"/>
      </w:pPr>
      <w:r>
        <w:rPr>
          <w:sz w:val="22"/>
          <w:szCs w:val="22"/>
        </w:rPr>
        <w:t xml:space="preserve"/>
      </w:r>
    </w:p>
    <w:p>
      <w:pPr>
        <w:spacing w:after="160" w:before="0" w:line="276"/>
        <w:jc w:val="both"/>
      </w:pPr>
      <w:r>
        <w:rPr>
          <w:rFonts w:ascii="Times New Roman" w:cs="Times New Roman" w:eastAsia="Times New Roman" w:hAnsi="Times New Roman"/>
          <w:sz w:val="24"/>
          <w:szCs w:val="24"/>
        </w:rPr>
        <w:t xml:space="preserve">Every solid link is established by direct computation; the single dashed link — the angle identification — carries the entire remaining question, with both outcomes empirically decisive.</w:t>
      </w:r>
    </w:p>
    <w:p>
      <w:pPr>
        <w:spacing w:after="80"/>
      </w:pPr>
      <w:r>
        <w:rPr>
          <w:sz w:val="22"/>
          <w:szCs w:val="22"/>
        </w:rPr>
        <w:t xml:space="preserve"/>
      </w:r>
    </w:p>
    <w:p>
      <w:pPr>
        <w:pBdr>
          <w:bottom w:val="single" w:color="7B2D26" w:sz="6" w:space="1"/>
        </w:pBdr>
        <w:spacing w:after="0" w:before="0"/>
      </w:pPr>
      <w:r>
        <w:rPr>
          <w:sz w:val="22"/>
          <w:szCs w:val="22"/>
        </w:rPr>
        <w:t xml:space="preserve"/>
      </w:r>
    </w:p>
    <w:p>
      <w:pPr>
        <w:spacing w:after="80"/>
      </w:pPr>
      <w:r>
        <w:rPr>
          <w:sz w:val="22"/>
          <w:szCs w:val="22"/>
        </w:rPr>
        <w:t xml:space="preserve"/>
      </w:r>
    </w:p>
    <w:p>
      <w:pPr>
        <w:pStyle w:val="Heading1"/>
        <w:spacing w:after="160" w:before="360"/>
      </w:pPr>
      <w:r>
        <w:rPr>
          <w:rFonts w:ascii="Times New Roman" w:cs="Times New Roman" w:eastAsia="Times New Roman" w:hAnsi="Times New Roman"/>
          <w:b/>
          <w:bCs/>
          <w:color w:val="1F3864"/>
          <w:sz w:val="28"/>
          <w:szCs w:val="28"/>
        </w:rPr>
        <w:t xml:space="preserve">Conclusion</w:t>
      </w:r>
    </w:p>
    <w:p>
      <w:pPr>
        <w:spacing w:after="160" w:before="0" w:line="276"/>
        <w:jc w:val="both"/>
      </w:pPr>
      <w:r>
        <w:rPr>
          <w:rFonts w:ascii="Times New Roman" w:cs="Times New Roman" w:eastAsia="Times New Roman" w:hAnsi="Times New Roman"/>
          <w:sz w:val="24"/>
          <w:szCs w:val="24"/>
        </w:rPr>
        <w:t xml:space="preserve">We attempted the calculation the foundations paper deferred — reproducing the singlet correlation at the Tsirelson bound from rope dynamics while preserving no-signalling — and we report a partial result without dressing it as more. A local rope model is falsified, exactly as Bell requires. A non-local joint-update model, faithful to the rope ontology of a single connected configuration updated by measurement, reproduces the cosine, saturates Tsirelson, preserves no-signalling, and is genuinely non-local rather than a disguised common cause. But it reaches the quantum value through a conditional that we imposed rather than derived, and the one ingredient that would generate that conditional — the measurement coupling to the Hopf base-sphere angle, γ = 1 — is not forced by the current dynamics. The rope model is thus shown to be the correct KIND of theory for quantum correlations, and one precise identification away from reproducing them. That identification, and whether the rope dynamics supply it, is the sharp and decidable question this paper leaves open. Reporting it as open, rather than claiming a derivation we did not achieve, is the point.</w:t>
      </w:r>
    </w:p>
    <w:p>
      <w:pPr>
        <w:spacing w:after="80"/>
      </w:pPr>
      <w:r>
        <w:rPr>
          <w:sz w:val="22"/>
          <w:szCs w:val="22"/>
        </w:rPr>
        <w:t xml:space="preserve"/>
      </w:r>
    </w:p>
    <w:p>
      <w:r>
        <w:rPr>
          <w:b/>
        </w:rPr>
        <w:t>Registered Claims in This Paper</w:t>
      </w:r>
    </w:p>
    <w:p>
      <w:r>
        <w:t>Each statement below is traceable to the machine-readable registry (claims.yaml), the corpus's single source of truth. Status labels: Derived (follows from stated mechanics), Modeled (reproduces data with declared inputs), EFT-constrained (bounded by effective-theory limits), Conjecture (proposed, not derived), Open (registered unsolved problem), Failed (falsified, kept as a finding). Where a claim is code-backed, the named benchmark reruns it.</w:t>
      </w:r>
    </w:p>
    <w:p/>
    <w:p>
      <w:r>
        <w:rPr>
          <w:b/>
        </w:rPr>
        <w:t xml:space="preserve">• QB-001 [Derived]: </w:t>
      </w:r>
      <w:r>
        <w:t>Local rope model gives triangle wave, CHSH ≤ 2  [benchmark: benchmarks/bell/nonlocal_correlation.py]</w:t>
      </w:r>
    </w:p>
    <w:p/>
    <w:p>
      <w:r>
        <w:t>Programme credit: the core Rope Hypothesis is due to Bill Gaede; this work develops and formalises it. Computational collaboration and drafting by Claude (Anthropic). Correspondence to palmer100@gmail.com.</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abstractNum w:abstractNumId="3"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imes New Roman" w:cs="Times New Roman" w:eastAsia="Times New Roman" w:hAnsi="Times New Roman"/>
        <w:sz w:val="24"/>
        <w:szCs w:val="24"/>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60" w:before="360"/>
      <w:outlineLvl w:val="0"/>
    </w:pPr>
    <w:rPr>
      <w:rFonts w:ascii="Times New Roman" w:cs="Times New Roman" w:eastAsia="Times New Roman" w:hAnsi="Times New Roman"/>
      <w:b/>
      <w:bCs/>
      <w:color w:val="1F3864"/>
      <w:sz w:val="28"/>
      <w:szCs w:val="28"/>
    </w:rPr>
  </w:style>
  <w:style w:type="paragraph" w:styleId="Heading2">
    <w:name w:val="Heading 2"/>
    <w:basedOn w:val="Normal"/>
    <w:next w:val="Normal"/>
    <w:qFormat/>
    <w:pPr>
      <w:spacing w:after="120" w:before="240"/>
      <w:outlineLvl w:val="1"/>
    </w:pPr>
    <w:rPr>
      <w:rFonts w:ascii="Times New Roman" w:cs="Times New Roman" w:eastAsia="Times New Roman" w:hAnsi="Times New Roman"/>
      <w:b/>
      <w:bCs/>
      <w:i/>
      <w:iCs/>
      <w:color w:val="2E4057"/>
      <w:sz w:val="24"/>
      <w:szCs w:val="24"/>
    </w:rPr>
  </w:style>
</w:styles>
</file>

<file path=word/_rels/document.xml.rels><?xml version='1.0' encoding='UTF-8' standalone='yes'?>
<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2026-07-05T06:38:28.508Z</dcterms:created>
  <dcterms:modified xsi:type="dcterms:W3CDTF">2026-07-05T06:38:28.522Z</dcterms:modified>
</cp:coreProperties>
</file>

<file path=docProps/custom.xml><?xml version="1.0" encoding="utf-8"?>
<Properties xmlns="http://schemas.openxmlformats.org/officeDocument/2006/custom-properties" xmlns:vt="http://schemas.openxmlformats.org/officeDocument/2006/docPropsVTypes"/>
</file>