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Rope Strand Dynamics: the Strand-Level Campaign</w:t>
      </w:r>
    </w:p>
    <w:p>
      <w:pPr>
        <w:pStyle w:val="FirstParagraph"/>
      </w:pPr>
      <w:r>
        <w:t xml:space="preserve">Mark Palmer · with computational collaboration by Claude (Anthropic)</w:t>
      </w:r>
    </w:p>
    <w:p>
      <w:pPr>
        <w:pStyle w:val="FirstParagraph"/>
      </w:pPr>
      <w:r>
        <w:t xml:space="preserve">Charlotte, NC · palmer100@gmail.com</w:t>
      </w:r>
    </w:p>
    <w:p>
      <w:r>
        <w:t>Phase 1 (FND-STRAND-001): the substrate -- inextensible elastic curves with the derived finite contact energetics; circle relaxation; dynamical linking conservation with finite standoff on a true Hopf pair; unlinked control. Phases 2-4: framed transport (FND-KIN-001 fidelity), the coverage threshold (FND-MATTER-004 fidelity), and the interaction model (carrying the detection law and the measurement wall, per QB-022). This anchor grows with the campaign.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Naming note (5 September 2026). This programme is now the Mesh Programme and the theory it develops the mesh framework; 'the rope framework' in earlier revisions reads 'the mesh framework'. 'Rope' remains the name of the two-strand wound object, and the Rope Hypothesis credited to Bill Gaede keeps its name. Identifiers (repository, rope_solver, file names, claim IDs) are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