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Weinberg Angle from Three Dimensions and Two Strands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Two Axioms Behind sin²θ_W = 1/(3√2)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isolates the two structural inputs — three spatial dimensions and two rope strands — that together produce the Weinberg-angle estimate sin²θ_W = 1/(3√2), and asks how much of the value is forced by them. The ‘3’ and the ‘√2’ each have a clear structural reading; what is not established is that these two inputs UNIQUELY force the specific combination 1/(3√2) rather than merely being consistent with it. We state the estimate and this openness honestly. All numbers are outputs of the rope_solver / tests computation in this package,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estimate 1/(3√2) rests on two structural inputs (3 dimensions, 2 strands) with clear readings.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that these inputs uniquely force 1/(3√2). Uniqueness is Open; the ~2% gap persists. Status: DEMOTED 5 September 2026 (KOIDE-WEINBERG, EW-001) to a KEPT COINCIDENCE; this paper's own 'uniqueness is Open' is the first of three named choice points. See the Disposition section.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Two Inputs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Three spatial dimensions — supplying the factor 3.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rope strands — supplying the √2.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Combined, these give sin²θ_W = 1/(3√2) = 0.2357.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What Is Open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honest gap is uniqueness: the two inputs are consistent with 1/(3√2), but the paper does not establish that they FORCE it — that no other combination of the same inputs is admissible. Until that is shown, and until the ~1.94% deviation from measurement is understood, the value remains a structurally-motivated conjecture rather than a derivation.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color w:val="7B2D26"/>
          <w:sz w:val="24"/>
          <w:szCs w:val="24"/>
        </w:rPr>
        <w:t xml:space="preserve">The honest status of this value.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predicted sin²θ_W = 1/(3√2) = 0.2357 differs from the measured 0.23122 by about 1.94%. It is close, and its form is suggestive, but it is NOT exact, and the test suite pins it explicitly as a ‘soft external input’ — the value that, when fed into the lepton-mass relation instead of the measured angle, breaks it. This is therefore a geometric conjecture of the right magnitude, not a precision derivation, and the ~2% gap is the known weak link of the electroweak sector.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Disposition (5 September 2026): demoted to a kept coincidence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Verdict.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Commission KOIDE-WEINBERG (ITEM 6d) executed the derivation-or-demotion this paper's status line deferred. Under FND-088's protocol (require a dependency path from registered objects to the number, with every choice point listed, before looking at the target) the chain 'three dimensions supply the 3, two strands supply the √2' has three choice points on its face: (1) the combination rule, why 1/(3·√2) rather than 1/√6, 1/3², √2/3 or 1/(3+√2), which the two-axioms paper itself records as 'uniqueness is Open'; (2) the quantity, why sin²θ_W carries the geometric number rather than sin θ_W, tan²θ_W or g′/g; (3) the multiplicative reading of the two factors, for which the Hopf route supplies transparency but no forcing mechanism. A chain with choice points is a conjecture whose choices are now named. The registered verdict is EW-DEMOTE: EW-001 leaves Conjecture grade and is kept as a coincidence. Full record: analysis/KOIDE_WEINBERG_results.md.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renormalization point, fixed before re-reading.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scale-free geometric number can be compared to exactly one renormalization point. The registered comparison, 0.23122 (the MS-bar value at M_Z), was locked before the comparison was re-read; against it the estimate is 1.94% off. The low-Q² effective angle (about 0.238) was displayed alongside and never adjudicated against: the estimate is 0.97% from it. A number within one to two percent of whichever point one picks is what a coincidence at that level looks like, and running or threshold effects are not invoked to close the gap.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stands.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two structural readings (three dimensions, two strands) stand as readings; the 1.94% gap stands as measured; the test-suite pin stands. What is withdrawn is the word 'estimate' as a claim about the electroweak sector: the corpus holds no derived Weinberg angle. The companion lepton-mass relation (PM-001) was demoted in the same commission on independent grounds (its sensitivity to this angle is 71: a 1.94% change in the input moves the muon-to-electron mass ratio by a factor 7.8), which closes the coupled inconsistency the corpus carried between the two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1/(3√2) from two structural inputs: DEMOTED to a kept coincidence (EW-001, 5 September 2026); the two inputs stand as readings, not as a derivation.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Uniqueness of the combination — Open.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~1.94% deviation — the known weak link.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2026-07-06T14:15:34.549Z</dcterms:created>
  <dcterms:modified xsi:type="dcterms:W3CDTF">2026-07-06T14:15:34.549Z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