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Twenty Predictions, One Discriminator, and a Reproducibility Standard</w:t>
      </w:r>
    </w:p>
    <w:p>
      <w:pPr>
        <w:pStyle w:val="BodyText"/>
      </w:pPr>
      <w:r>
        <w:t xml:space="preserve">Mark Palmer · June 2026, rebuilt July 2026 (v2.2.5); release-synced to registry v3.26.0, August 2026</w:t>
      </w:r>
    </w:p>
    <w:p>
      <w:pPr>
        <w:pStyle w:val="BodyText"/>
      </w:pPr>
      <w:r>
        <w:t xml:space="preserve">Charlotte, NC · palmer100@gmail.com</w:t>
      </w:r>
    </w:p>
    <w:bookmarkStart w:id="20" w:name="abstract"/>
    <w:p>
      <w:pPr>
        <w:pStyle w:val="Heading1"/>
      </w:pPr>
      <w:r>
        <w:t xml:space="preserve">Abstract</w:t>
      </w:r>
    </w:p>
    <w:p>
      <w:pPr>
        <w:pStyle w:val="FirstParagraph"/>
      </w:pPr>
      <w:r>
        <w:t xml:space="preserve">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bookmarkEnd w:id="20"/>
    <w:bookmarkStart w:id="21" w:name="how-to-read-this-note"/>
    <w:p>
      <w:pPr>
        <w:pStyle w:val="Heading1"/>
      </w:pPr>
      <w:r>
        <w:t xml:space="preserve">1. How to Read This Note</w:t>
      </w:r>
    </w:p>
    <w:p>
      <w:pPr>
        <w:pStyle w:val="FirstParagraph"/>
      </w:pPr>
      <w:r>
        <w:t xml:space="preserve">A prediction is only as good as its honesty about what stands behind it. For each prediction below we separate three things a reviewer needs:</w:t>
      </w:r>
    </w:p>
    <w:p>
      <w:pPr>
        <w:pStyle w:val="BodyText"/>
      </w:pPr>
      <w:r>
        <w:t xml:space="preserve">The number or shape — the specific quantity or structure the framework commits to, with no remaining freedom to adjust.</w:t>
      </w:r>
    </w:p>
    <w:p>
      <w:pPr>
        <w:pStyle w:val="BodyText"/>
      </w:pPr>
      <w:r>
        <w:t xml:space="preserve">The inputs — stated explicitly as DERIVED (forced by the rope structure) or MEASURED (taken from experiment as a fixed input). A prediction that leans on a measured input is still falsifiable, but it is not parameter-free, and we say so.</w:t>
      </w:r>
    </w:p>
    <w:p>
      <w:pPr>
        <w:pStyle w:val="BodyText"/>
      </w:pPr>
      <w:r>
        <w:t xml:space="preserve">The test and the falsifier — the experiment that will decide, and the result that would kill the prediction.</w:t>
      </w:r>
    </w:p>
    <w:p>
      <w:pPr>
        <w:pStyle w:val="BodyText"/>
      </w:pPr>
      <w:r>
        <w:t xml:space="preserve">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bookmarkEnd w:id="21"/>
    <w:bookmarkStart w:id="22" w:name="the-predictions-at-a-glance"/>
    <w:p>
      <w:pPr>
        <w:pStyle w:val="Heading1"/>
      </w:pPr>
      <w:r>
        <w:t xml:space="preserve">2. The Predictions at a Glance</w:t>
      </w:r>
    </w:p>
    <w:tbl>
      <w:tblPr>
        <w:tblStyle w:val="Table"/>
        <w:tblW w:type="pct" w:w="4895"/>
        <w:tblLook w:firstRow="1" w:lastRow="0" w:firstColumn="0" w:lastColumn="0" w:noHBand="0" w:noVBand="0" w:val="0020"/>
        <w:jc w:val="start"/>
      </w:tblPr>
      <w:tblGrid>
        <w:gridCol w:w="917"/>
        <w:gridCol w:w="1333"/>
        <w:gridCol w:w="1333"/>
        <w:gridCol w:w="2751"/>
        <w:gridCol w:w="1417"/>
      </w:tblGrid>
      <w:tr>
        <w:trPr>
          <w:tblHeader w:val="true"/>
        </w:trPr>
        <w:tc>
          <w:tcPr/>
          <w:p>
            <w:pPr>
              <w:pStyle w:val="Compact"/>
              <w:jc w:val="left"/>
            </w:pPr>
            <w:r>
              <w:t xml:space="preserve">#</w:t>
            </w:r>
          </w:p>
        </w:tc>
        <w:tc>
          <w:tcPr/>
          <w:p>
            <w:pPr>
              <w:pStyle w:val="Compact"/>
              <w:jc w:val="left"/>
            </w:pPr>
            <w:r>
              <w:t xml:space="preserve">Prediction</w:t>
            </w:r>
          </w:p>
        </w:tc>
        <w:tc>
          <w:tcPr/>
          <w:p>
            <w:pPr>
              <w:pStyle w:val="Compact"/>
              <w:jc w:val="left"/>
            </w:pPr>
            <w:r>
              <w:t xml:space="preserve">Committed number / shape</w:t>
            </w:r>
          </w:p>
        </w:tc>
        <w:tc>
          <w:tcPr/>
          <w:p>
            <w:pPr>
              <w:pStyle w:val="Compact"/>
              <w:jc w:val="left"/>
            </w:pPr>
            <w:r>
              <w:t xml:space="preserve">Test (arena)</w:t>
            </w:r>
          </w:p>
        </w:tc>
        <w:tc>
          <w:tcPr/>
          <w:p>
            <w:pPr>
              <w:pStyle w:val="Compact"/>
              <w:jc w:val="left"/>
            </w:pPr>
            <w:r>
              <w:t xml:space="preserve">Status / horizon</w:t>
            </w:r>
          </w:p>
        </w:tc>
      </w:tr>
      <w:tr>
        <w:tc>
          <w:tcPr/>
          <w:p>
            <w:pPr>
              <w:pStyle w:val="Compact"/>
              <w:jc w:val="left"/>
            </w:pPr>
            <w:r>
              <w:t xml:space="preserve">1</w:t>
            </w:r>
          </w:p>
        </w:tc>
        <w:tc>
          <w:tcPr/>
          <w:p>
            <w:pPr>
              <w:pStyle w:val="Compact"/>
              <w:jc w:val="left"/>
            </w:pPr>
            <w:r>
              <w:t xml:space="preserve">MOND acceleration scale g† = cH₀/2π</w:t>
            </w:r>
          </w:p>
        </w:tc>
        <w:tc>
          <w:tcPr/>
          <w:p>
            <w:pPr>
              <w:pStyle w:val="Compact"/>
              <w:jc w:val="left"/>
            </w:pPr>
            <w:r>
              <w:t xml:space="preserve">1.04×10⁻¹⁰ m/s²</w:t>
            </w:r>
          </w:p>
        </w:tc>
        <w:tc>
          <w:tcPr/>
          <w:p>
            <w:pPr>
              <w:pStyle w:val="Compact"/>
              <w:jc w:val="left"/>
            </w:pPr>
            <w:r>
              <w:t xml:space="preserve">H₀ convergence; z-drift of g†</w:t>
            </w:r>
          </w:p>
        </w:tc>
        <w:tc>
          <w:tcPr/>
          <w:p>
            <w:pPr>
              <w:pStyle w:val="Compact"/>
              <w:jc w:val="left"/>
            </w:pPr>
            <w:r>
              <w:t xml:space="preserve">DESI/Euclid, ongoing</w:t>
            </w:r>
          </w:p>
        </w:tc>
      </w:tr>
      <w:tr>
        <w:tc>
          <w:tcPr/>
          <w:p>
            <w:pPr>
              <w:pStyle w:val="Compact"/>
              <w:jc w:val="left"/>
            </w:pPr>
            <w:r>
              <w:t xml:space="preserve">2</w:t>
            </w:r>
          </w:p>
        </w:tc>
        <w:tc>
          <w:tcPr/>
          <w:p>
            <w:pPr>
              <w:pStyle w:val="Compact"/>
              <w:jc w:val="left"/>
            </w:pPr>
            <w:r>
              <w:t xml:space="preserve">Neutrino mass sum Σmν</w:t>
            </w:r>
          </w:p>
        </w:tc>
        <w:tc>
          <w:tcPr/>
          <w:p>
            <w:pPr>
              <w:pStyle w:val="Compact"/>
              <w:jc w:val="left"/>
            </w:pPr>
            <w:r>
              <w:t xml:space="preserve">58.5 meV</w:t>
            </w:r>
          </w:p>
        </w:tc>
        <w:tc>
          <w:tcPr/>
          <w:p>
            <w:pPr>
              <w:pStyle w:val="Compact"/>
              <w:jc w:val="left"/>
            </w:pPr>
            <w:r>
              <w:t xml:space="preserve">CMB + BAO + galaxy surveys</w:t>
            </w:r>
          </w:p>
        </w:tc>
        <w:tc>
          <w:tcPr/>
          <w:p>
            <w:pPr>
              <w:pStyle w:val="Compact"/>
              <w:jc w:val="left"/>
            </w:pPr>
            <w:r>
              <w:t xml:space="preserve">CMB-S4/Euclid, ~2027+</w:t>
            </w:r>
          </w:p>
        </w:tc>
      </w:tr>
      <w:tr>
        <w:tc>
          <w:tcPr/>
          <w:p>
            <w:pPr>
              <w:pStyle w:val="Compact"/>
              <w:jc w:val="left"/>
            </w:pPr>
            <w:r>
              <w:t xml:space="preserve">3</w:t>
            </w:r>
          </w:p>
        </w:tc>
        <w:tc>
          <w:tcPr/>
          <w:p>
            <w:pPr>
              <w:pStyle w:val="Compact"/>
              <w:jc w:val="left"/>
            </w:pPr>
            <w:r>
              <w:t xml:space="preserve">Cosmic birefringence EB/EE</w:t>
            </w:r>
          </w:p>
        </w:tc>
        <w:tc>
          <w:tcPr/>
          <w:p>
            <w:pPr>
              <w:pStyle w:val="Compact"/>
              <w:jc w:val="left"/>
            </w:pPr>
            <w:r>
              <w:t xml:space="preserve">0.0119, flat in ℓ</w:t>
            </w:r>
          </w:p>
        </w:tc>
        <w:tc>
          <w:tcPr/>
          <w:p>
            <w:pPr>
              <w:pStyle w:val="Compact"/>
              <w:jc w:val="left"/>
            </w:pPr>
            <w:r>
              <w:t xml:space="preserve">CMB EB cross-power</w:t>
            </w:r>
          </w:p>
        </w:tc>
        <w:tc>
          <w:tcPr/>
          <w:p>
            <w:pPr>
              <w:pStyle w:val="Compact"/>
              <w:jc w:val="left"/>
            </w:pPr>
            <w:r>
              <w:t xml:space="preserve">LiteBIRD, ~2030s</w:t>
            </w:r>
          </w:p>
        </w:tc>
      </w:tr>
      <w:tr>
        <w:tc>
          <w:tcPr/>
          <w:p>
            <w:pPr>
              <w:pStyle w:val="Compact"/>
              <w:jc w:val="left"/>
            </w:pPr>
            <w:r>
              <w:t xml:space="preserve">4</w:t>
            </w:r>
          </w:p>
        </w:tc>
        <w:tc>
          <w:tcPr/>
          <w:p>
            <w:pPr>
              <w:pStyle w:val="Compact"/>
              <w:jc w:val="left"/>
            </w:pPr>
            <w:r>
              <w:t xml:space="preserve">MOND interpolation shape</w:t>
            </w:r>
          </w:p>
        </w:tc>
        <w:tc>
          <w:tcPr/>
          <w:p>
            <w:pPr>
              <w:pStyle w:val="Compact"/>
              <w:jc w:val="left"/>
            </w:pPr>
            <w:r>
              <w:t xml:space="preserve">(retired)</w:t>
            </w:r>
          </w:p>
        </w:tc>
        <w:tc>
          <w:tcPr/>
          <w:p>
            <w:pPr>
              <w:pStyle w:val="Compact"/>
              <w:jc w:val="left"/>
            </w:pPr>
            <w:r>
              <w:t xml:space="preserve">Galaxy rotation curves</w:t>
            </w:r>
          </w:p>
        </w:tc>
        <w:tc>
          <w:tcPr/>
          <w:p>
            <w:pPr>
              <w:pStyle w:val="Compact"/>
              <w:jc w:val="left"/>
            </w:pPr>
            <w:r>
              <w:t xml:space="preserve">RETIRED at GRV-031</w:t>
            </w:r>
          </w:p>
        </w:tc>
      </w:tr>
      <w:tr>
        <w:tc>
          <w:tcPr/>
          <w:p>
            <w:pPr>
              <w:pStyle w:val="Compact"/>
              <w:jc w:val="left"/>
            </w:pPr>
            <w:r>
              <w:t xml:space="preserve">5</w:t>
            </w:r>
          </w:p>
        </w:tc>
        <w:tc>
          <w:tcPr/>
          <w:p>
            <w:pPr>
              <w:pStyle w:val="Compact"/>
              <w:jc w:val="left"/>
            </w:pPr>
            <w:r>
              <w:t xml:space="preserve">Gauge-boson Koide structure</w:t>
            </w:r>
          </w:p>
        </w:tc>
        <w:tc>
          <w:tcPr/>
          <w:p>
            <w:pPr>
              <w:pStyle w:val="Compact"/>
              <w:jc w:val="left"/>
            </w:pPr>
            <w:r>
              <w:t xml:space="preserve">structural</w:t>
            </w:r>
          </w:p>
        </w:tc>
        <w:tc>
          <w:tcPr/>
          <w:p>
            <w:pPr>
              <w:pStyle w:val="Compact"/>
              <w:jc w:val="left"/>
            </w:pPr>
            <w:r>
              <w:t xml:space="preserve">(no direct test yet)</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α–G covariation, d ln α = −2 d ln G</w:t>
            </w:r>
          </w:p>
        </w:tc>
        <w:tc>
          <w:tcPr/>
          <w:p>
            <w:pPr>
              <w:pStyle w:val="Compact"/>
              <w:jc w:val="left"/>
            </w:pPr>
            <w:r>
              <w:t xml:space="preserve">ratio −2 (provisional)</w:t>
            </w:r>
          </w:p>
        </w:tc>
        <w:tc>
          <w:tcPr/>
          <w:p>
            <w:pPr>
              <w:pStyle w:val="Compact"/>
              <w:jc w:val="left"/>
            </w:pPr>
            <w:r>
              <w:t xml:space="preserve">quasar α̇ + LLR/pulsar Ġ bounds</w:t>
            </w:r>
          </w:p>
        </w:tc>
        <w:tc>
          <w:tcPr/>
          <w:p>
            <w:pPr>
              <w:pStyle w:val="Compact"/>
              <w:jc w:val="left"/>
            </w:pPr>
            <w:r>
              <w:t xml:space="preserve">available now (bounds)</w:t>
            </w:r>
          </w:p>
        </w:tc>
      </w:tr>
      <w:tr>
        <w:tc>
          <w:tcPr/>
          <w:p>
            <w:pPr>
              <w:pStyle w:val="Compact"/>
              <w:jc w:val="left"/>
            </w:pPr>
            <w:r>
              <w:t xml:space="preserve">7</w:t>
            </w:r>
          </w:p>
        </w:tc>
        <w:tc>
          <w:tcPr/>
          <w:p>
            <w:pPr>
              <w:pStyle w:val="Compact"/>
              <w:jc w:val="left"/>
            </w:pPr>
            <w:r>
              <w:t xml:space="preserve">Vacuum Kerr nonlinearity</w:t>
            </w:r>
          </w:p>
        </w:tc>
        <w:tc>
          <w:tcPr/>
          <w:p>
            <w:pPr>
              <w:pStyle w:val="Compact"/>
              <w:jc w:val="left"/>
            </w:pPr>
            <w:r>
              <w:t xml:space="preserve">3:1 anisotropy, negative Δn</w:t>
            </w:r>
          </w:p>
        </w:tc>
        <w:tc>
          <w:tcPr/>
          <w:p>
            <w:pPr>
              <w:pStyle w:val="Compact"/>
              <w:jc w:val="left"/>
            </w:pPr>
            <w:r>
              <w:t xml:space="preserve">vacuum birefringence (PVLAS-class)</w:t>
            </w:r>
          </w:p>
        </w:tc>
        <w:tc>
          <w:tcPr/>
          <w:p>
            <w:pPr>
              <w:pStyle w:val="Compact"/>
              <w:jc w:val="left"/>
            </w:pPr>
            <w:r>
              <w:t xml:space="preserve">confronted; window open</w:t>
            </w:r>
          </w:p>
        </w:tc>
      </w:tr>
      <w:tr>
        <w:tc>
          <w:tcPr/>
          <w:p>
            <w:pPr>
              <w:pStyle w:val="Compact"/>
              <w:jc w:val="left"/>
            </w:pPr>
            <w:r>
              <w:t xml:space="preserve">8</w:t>
            </w:r>
          </w:p>
        </w:tc>
        <w:tc>
          <w:tcPr/>
          <w:p>
            <w:pPr>
              <w:pStyle w:val="Compact"/>
              <w:jc w:val="left"/>
            </w:pPr>
            <w:r>
              <w:t xml:space="preserve">Dark longitudinal tension channel</w:t>
            </w:r>
          </w:p>
        </w:tc>
        <w:tc>
          <w:tcPr/>
          <w:p>
            <w:pPr>
              <w:pStyle w:val="Compact"/>
              <w:jc w:val="left"/>
            </w:pPr>
            <w:r>
              <w:t xml:space="preserve">superluminal, cubic-only coupling</w:t>
            </w:r>
          </w:p>
        </w:tc>
        <w:tc>
          <w:tcPr/>
          <w:p>
            <w:pPr>
              <w:pStyle w:val="Compact"/>
              <w:jc w:val="left"/>
            </w:pPr>
            <w:r>
              <w:t xml:space="preserve">stress-channel searches</w:t>
            </w:r>
          </w:p>
        </w:tc>
        <w:tc>
          <w:tcPr/>
          <w:p>
            <w:pPr>
              <w:pStyle w:val="Compact"/>
              <w:jc w:val="left"/>
            </w:pPr>
            <w:r>
              <w:t xml:space="preserve">structural</w:t>
            </w:r>
          </w:p>
        </w:tc>
      </w:tr>
      <w:tr>
        <w:tc>
          <w:tcPr/>
          <w:p>
            <w:pPr>
              <w:pStyle w:val="Compact"/>
              <w:jc w:val="left"/>
            </w:pPr>
            <w:r>
              <w:t xml:space="preserve">9</w:t>
            </w:r>
          </w:p>
        </w:tc>
        <w:tc>
          <w:tcPr/>
          <w:p>
            <w:pPr>
              <w:pStyle w:val="Compact"/>
              <w:jc w:val="left"/>
            </w:pPr>
            <w:r>
              <w:t xml:space="preserve">Heavy-hydride 90° asymptote</w:t>
            </w:r>
          </w:p>
        </w:tc>
        <w:tc>
          <w:tcPr/>
          <w:p>
            <w:pPr>
              <w:pStyle w:val="Compact"/>
              <w:jc w:val="left"/>
            </w:pPr>
            <w:r>
              <w:t xml:space="preserve">H₂Po 90.0–90.7°; BiH₃ 90.0–91.5°</w:t>
            </w:r>
          </w:p>
        </w:tc>
        <w:tc>
          <w:tcPr/>
          <w:p>
            <w:pPr>
              <w:pStyle w:val="Compact"/>
              <w:jc w:val="left"/>
            </w:pPr>
            <w:r>
              <w:t xml:space="preserve">molecular spectroscopy</w:t>
            </w:r>
          </w:p>
        </w:tc>
        <w:tc>
          <w:tcPr/>
          <w:p>
            <w:pPr>
              <w:pStyle w:val="Compact"/>
              <w:jc w:val="left"/>
            </w:pPr>
            <w:r>
              <w:t xml:space="preserve">available now</w:t>
            </w:r>
          </w:p>
        </w:tc>
      </w:tr>
      <w:tr>
        <w:tc>
          <w:tcPr/>
          <w:p>
            <w:pPr>
              <w:pStyle w:val="Compact"/>
              <w:jc w:val="left"/>
            </w:pPr>
            <w:r>
              <w:t xml:space="preserve">10</w:t>
            </w:r>
          </w:p>
        </w:tc>
        <w:tc>
          <w:tcPr/>
          <w:p>
            <w:pPr>
              <w:pStyle w:val="Compact"/>
              <w:jc w:val="left"/>
            </w:pPr>
            <w:r>
              <w:t xml:space="preserve">Gapped weave noise floor</w:t>
            </w:r>
          </w:p>
        </w:tc>
        <w:tc>
          <w:tcPr/>
          <w:p>
            <w:pPr>
              <w:pStyle w:val="Compact"/>
              <w:jc w:val="left"/>
            </w:pPr>
            <w:r>
              <w:t xml:space="preserve">gap + band ×√(1+4kt); no soft modes</w:t>
            </w:r>
          </w:p>
        </w:tc>
        <w:tc>
          <w:tcPr/>
          <w:p>
            <w:pPr>
              <w:pStyle w:val="Compact"/>
              <w:jc w:val="left"/>
            </w:pPr>
            <w:r>
              <w:t xml:space="preserve">decoherence spectroscopy</w:t>
            </w:r>
          </w:p>
        </w:tc>
        <w:tc>
          <w:tcPr/>
          <w:p>
            <w:pPr>
              <w:pStyle w:val="Compact"/>
              <w:jc w:val="left"/>
            </w:pPr>
            <w:r>
              <w:t xml:space="preserve">scale-open</w:t>
            </w:r>
          </w:p>
        </w:tc>
      </w:tr>
      <w:tr>
        <w:tc>
          <w:tcPr/>
          <w:p>
            <w:pPr>
              <w:pStyle w:val="Compact"/>
              <w:jc w:val="left"/>
            </w:pPr>
            <w:r>
              <w:t xml:space="preserve">11</w:t>
            </w:r>
          </w:p>
        </w:tc>
        <w:tc>
          <w:tcPr/>
          <w:p>
            <w:pPr>
              <w:pStyle w:val="Compact"/>
              <w:jc w:val="left"/>
            </w:pPr>
            <w:r>
              <w:t xml:space="preserve">Detection = nucleation kinetics</w:t>
            </w:r>
          </w:p>
        </w:tc>
        <w:tc>
          <w:tcPr/>
          <w:p>
            <w:pPr>
              <w:pStyle w:val="Compact"/>
              <w:jc w:val="left"/>
            </w:pPr>
            <w:r>
              <w:t xml:space="preserve">first-passage package</w:t>
            </w:r>
          </w:p>
        </w:tc>
        <w:tc>
          <w:tcPr/>
          <w:p>
            <w:pPr>
              <w:pStyle w:val="Compact"/>
              <w:jc w:val="left"/>
            </w:pPr>
            <w:r>
              <w:t xml:space="preserve">threshold-detector statistics</w:t>
            </w:r>
          </w:p>
        </w:tc>
        <w:tc>
          <w:tcPr/>
          <w:p>
            <w:pPr>
              <w:pStyle w:val="Compact"/>
              <w:jc w:val="left"/>
            </w:pPr>
            <w:r>
              <w:t xml:space="preserve">available now</w:t>
            </w:r>
          </w:p>
        </w:tc>
      </w:tr>
      <w:tr>
        <w:tc>
          <w:tcPr/>
          <w:p>
            <w:pPr>
              <w:pStyle w:val="Compact"/>
              <w:jc w:val="left"/>
            </w:pPr>
            <w:r>
              <w:t xml:space="preserve">12</w:t>
            </w:r>
          </w:p>
        </w:tc>
        <w:tc>
          <w:tcPr/>
          <w:p>
            <w:pPr>
              <w:pStyle w:val="Compact"/>
              <w:jc w:val="left"/>
            </w:pPr>
            <w:r>
              <w:t xml:space="preserve">Spin-½ requires extension</w:t>
            </w:r>
          </w:p>
        </w:tc>
        <w:tc>
          <w:tcPr/>
          <w:p>
            <w:pPr>
              <w:pStyle w:val="Compact"/>
              <w:jc w:val="left"/>
            </w:pPr>
            <w:r>
              <w:t xml:space="preserve">substructure at some scale</w:t>
            </w:r>
          </w:p>
        </w:tc>
        <w:tc>
          <w:tcPr/>
          <w:p>
            <w:pPr>
              <w:pStyle w:val="Compact"/>
              <w:jc w:val="left"/>
            </w:pPr>
            <w:r>
              <w:t xml:space="preserve">compositeness searches</w:t>
            </w:r>
          </w:p>
        </w:tc>
        <w:tc>
          <w:tcPr/>
          <w:p>
            <w:pPr>
              <w:pStyle w:val="Compact"/>
              <w:jc w:val="left"/>
            </w:pPr>
            <w:r>
              <w:t xml:space="preserve">one-sided</w:t>
            </w:r>
          </w:p>
        </w:tc>
      </w:tr>
      <w:tr>
        <w:tc>
          <w:tcPr/>
          <w:p>
            <w:pPr>
              <w:pStyle w:val="Compact"/>
              <w:jc w:val="left"/>
            </w:pPr>
            <w:r>
              <w:t xml:space="preserve">13</w:t>
            </w:r>
          </w:p>
        </w:tc>
        <w:tc>
          <w:tcPr/>
          <w:p>
            <w:pPr>
              <w:pStyle w:val="Compact"/>
              <w:jc w:val="left"/>
            </w:pPr>
            <w:r>
              <w:t xml:space="preserve">CHSH cap, failed organ named</w:t>
            </w:r>
          </w:p>
        </w:tc>
        <w:tc>
          <w:tcPr/>
          <w:p>
            <w:pPr>
              <w:pStyle w:val="Compact"/>
              <w:jc w:val="left"/>
            </w:pPr>
            <w:r>
              <w:t xml:space="preserve">2√2 = 2.828</w:t>
            </w:r>
          </w:p>
        </w:tc>
        <w:tc>
          <w:tcPr/>
          <w:p>
            <w:pPr>
              <w:pStyle w:val="Compact"/>
              <w:jc w:val="left"/>
            </w:pPr>
            <w:r>
              <w:t xml:space="preserve">loophole-free Bell tests</w:t>
            </w:r>
          </w:p>
        </w:tc>
        <w:tc>
          <w:tcPr/>
          <w:p>
            <w:pPr>
              <w:pStyle w:val="Compact"/>
              <w:jc w:val="left"/>
            </w:pPr>
            <w:r>
              <w:t xml:space="preserve">standing</w:t>
            </w:r>
          </w:p>
        </w:tc>
      </w:tr>
      <w:tr>
        <w:tc>
          <w:tcPr/>
          <w:p>
            <w:pPr>
              <w:pStyle w:val="Compact"/>
              <w:jc w:val="left"/>
            </w:pPr>
            <w:r>
              <w:t xml:space="preserve">14</w:t>
            </w:r>
          </w:p>
        </w:tc>
        <w:tc>
          <w:tcPr/>
          <w:p>
            <w:pPr>
              <w:pStyle w:val="Compact"/>
              <w:jc w:val="left"/>
            </w:pPr>
            <w:r>
              <w:t xml:space="preserve">Born exponent from channel energy</w:t>
            </w:r>
          </w:p>
        </w:tc>
        <w:tc>
          <w:tcPr/>
          <w:p>
            <w:pPr>
              <w:pStyle w:val="Compact"/>
              <w:jc w:val="left"/>
            </w:pPr>
            <w:r>
              <w:t xml:space="preserve">p = 2</w:t>
            </w:r>
          </w:p>
        </w:tc>
        <w:tc>
          <w:tcPr/>
          <w:p>
            <w:pPr>
              <w:pStyle w:val="Compact"/>
              <w:jc w:val="left"/>
            </w:pPr>
            <w:r>
              <w:t xml:space="preserve">threshold response calibration</w:t>
            </w:r>
          </w:p>
        </w:tc>
        <w:tc>
          <w:tcPr/>
          <w:p>
            <w:pPr>
              <w:pStyle w:val="Compact"/>
              <w:jc w:val="left"/>
            </w:pPr>
            <w:r>
              <w:t xml:space="preserve">available now</w:t>
            </w:r>
          </w:p>
        </w:tc>
      </w:tr>
      <w:tr>
        <w:tc>
          <w:tcPr/>
          <w:p>
            <w:pPr>
              <w:pStyle w:val="Compact"/>
              <w:jc w:val="left"/>
            </w:pPr>
            <w:r>
              <w:t xml:space="preserve">15</w:t>
            </w:r>
          </w:p>
        </w:tc>
        <w:tc>
          <w:tcPr/>
          <w:p>
            <w:pPr>
              <w:pStyle w:val="Compact"/>
              <w:jc w:val="left"/>
            </w:pPr>
            <w:r>
              <w:t xml:space="preserve">Analog universality (cliff + coverage)</w:t>
            </w:r>
          </w:p>
        </w:tc>
        <w:tc>
          <w:tcPr/>
          <w:p>
            <w:pPr>
              <w:pStyle w:val="Compact"/>
              <w:jc w:val="left"/>
            </w:pPr>
            <w:r>
              <w:t xml:space="preserve">slope ≈ −8.5/width; crossover at contact size</w:t>
            </w:r>
          </w:p>
        </w:tc>
        <w:tc>
          <w:tcPr/>
          <w:p>
            <w:pPr>
              <w:pStyle w:val="Compact"/>
              <w:jc w:val="left"/>
            </w:pPr>
            <w:r>
              <w:t xml:space="preserve">pendulum/cold-atom/domain-wall analogs; filament brushes</w:t>
            </w:r>
          </w:p>
        </w:tc>
        <w:tc>
          <w:tcPr/>
          <w:p>
            <w:pPr>
              <w:pStyle w:val="Compact"/>
              <w:jc w:val="left"/>
            </w:pPr>
            <w:r>
              <w:t xml:space="preserve">available now</w:t>
            </w:r>
          </w:p>
        </w:tc>
      </w:tr>
      <w:tr>
        <w:tc>
          <w:tcPr/>
          <w:p>
            <w:pPr>
              <w:pStyle w:val="Compact"/>
              <w:jc w:val="left"/>
            </w:pPr>
            <w:r>
              <w:t xml:space="preserve">16</w:t>
            </w:r>
          </w:p>
        </w:tc>
        <w:tc>
          <w:tcPr/>
          <w:p>
            <w:pPr>
              <w:pStyle w:val="Compact"/>
              <w:jc w:val="left"/>
            </w:pPr>
            <w:r>
              <w:t xml:space="preserve">Isolated holes do not evaporate</w:t>
            </w:r>
          </w:p>
        </w:tc>
        <w:tc>
          <w:tcPr/>
          <w:p>
            <w:pPr>
              <w:pStyle w:val="Compact"/>
              <w:jc w:val="left"/>
            </w:pPr>
            <w:r>
              <w:t xml:space="preserve">(silence)</w:t>
            </w:r>
          </w:p>
        </w:tc>
        <w:tc>
          <w:tcPr/>
          <w:p>
            <w:pPr>
              <w:pStyle w:val="Compact"/>
              <w:jc w:val="left"/>
            </w:pPr>
            <w:r>
              <w:t xml:space="preserve">GRV-039</w:t>
            </w:r>
          </w:p>
        </w:tc>
        <w:tc>
          <w:tcPr/>
          <w:p>
            <w:pPr>
              <w:pStyle w:val="Compact"/>
              <w:jc w:val="left"/>
            </w:pPr>
            <w:r>
              <w:t xml:space="preserve">REGISTERED DIVERGENCE; PBH-burst falsifier armed</w:t>
            </w:r>
          </w:p>
        </w:tc>
      </w:tr>
      <w:tr>
        <w:tc>
          <w:tcPr/>
          <w:p>
            <w:pPr>
              <w:pStyle w:val="Compact"/>
              <w:jc w:val="left"/>
            </w:pPr>
            <w:r>
              <w:t xml:space="preserve">17</w:t>
            </w:r>
          </w:p>
        </w:tc>
        <w:tc>
          <w:tcPr/>
          <w:p>
            <w:pPr>
              <w:pStyle w:val="Compact"/>
              <w:jc w:val="left"/>
            </w:pPr>
            <w:r>
              <w:t xml:space="preserve">The whisper:</w:t>
            </w:r>
          </w:p>
        </w:tc>
        <w:tc>
          <w:tcPr/>
          <w:p>
            <w:pPr>
              <w:pStyle w:val="Compact"/>
              <w:jc w:val="left"/>
            </w:pPr>
            <w:r>
              <w:t xml:space="preserve">kappa-law derive twice; coefficie contested in-hou (0.23 vs 2e-6..3 1.3 kappa/2pi</w:t>
            </w:r>
          </w:p>
        </w:tc>
        <w:tc>
          <w:tcPr/>
          <w:p>
            <w:pPr>
              <w:pStyle w:val="Compact"/>
              <w:jc w:val="left"/>
            </w:pPr>
            <w:r>
              <w:t xml:space="preserve">d GRV-040-044, nt GRV-087-088 se e-5);</w:t>
            </w:r>
          </w:p>
        </w:tc>
        <w:tc>
          <w:tcPr/>
          <w:p>
            <w:pPr>
              <w:pStyle w:val="Compact"/>
              <w:jc w:val="left"/>
            </w:pPr>
            <w:r>
              <w:t xml:space="preserve">Modeled +</w:t>
            </w:r>
          </w:p>
        </w:tc>
      </w:tr>
    </w:tbl>
    <w:p>
      <w:pPr>
        <w:pStyle w:val="BodyText"/>
      </w:pPr>
      <w:r>
        <w:t xml:space="preserve">Update at v3.7.0 and after: the measurement-sector family (Part IV) resolved into a TWO-REGIME picture through the strand-kinetics campaign (FND-STRAND-009..021). Prediction 11 now stands in final form (steady-state Poisson with the band-gap prefactor; a switch-on transient after a quench), and three new entries join the list: Prediction 23 (the switch-on fingerprint: dark-count drift at constant temperature), Prediction 24 (the parameter-free detector size law, the corpus’s newest DERIVED result), and Prediction 25 (Predictions 10 and 11 pinned to one spectral scale). Predictions 23 and 24 are the family’s most experimentally distinctive members: existing single-photon hardware, statistics campaigns only, with the constant-temperature drift and the zero-parameter power law as signatures no rival drift model supplies.</w:t>
      </w:r>
    </w:p>
    <w:p>
      <w:pPr>
        <w:pStyle w:val="BodyText"/>
      </w:pPr>
      <w:r>
        <w:rPr>
          <w:iCs/>
          <w:i/>
        </w:rPr>
        <w:t xml:space="preserve">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bookmarkEnd w:id="22"/>
    <w:bookmarkStart w:id="27" w:name="part-i-four-testable-numbers"/>
    <w:p>
      <w:pPr>
        <w:pStyle w:val="Heading1"/>
      </w:pPr>
      <w:r>
        <w:t xml:space="preserve">Part I — Four Testable Numbers</w:t>
      </w:r>
    </w:p>
    <w:p>
      <w:pPr>
        <w:pStyle w:val="FirstParagraph"/>
      </w:pPr>
      <w:r>
        <w:rPr>
          <w:bCs/>
          <w:b/>
        </w:rPr>
        <w:t xml:space="preserve">READER'S NOTE — the discrimination audit (added 1 August 2026)</w:t>
      </w:r>
    </w:p>
    <w:p>
      <w:pPr>
        <w:pStyle w:val="BodyText"/>
      </w:pPr>
      <w:r>
        <w:t xml:space="preserve">This paper lists nineteen predictions. A systematic audit on 1 August 2026 asked a narrower question of each: does its OBSERVABLE OUTCOME differ from what standard physics predicts, is it checkable, and is it live? At the 1 August audit, exactly ONE qualified on all three; the reconciliation and rulings of 12 August 2026 sharpen the count to TWO FIRM PLUS ONE CONDITIONAL (see the closing recount below). Readers should not take the count of nineteen as a count of ways this framework could be distinguished from standard physics.</w:t>
      </w:r>
    </w:p>
    <w:p>
      <w:pPr>
        <w:pStyle w:val="BodyText"/>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pStyle w:val="BodyText"/>
      </w:pPr>
      <w:r>
        <w:rPr>
          <w:bCs/>
          <w:b/>
        </w:rPr>
        <w:t xml:space="preserve">WHY THE OTHERS DO NOT DISCRIMINATE, in the audit's own terms:</w:t>
      </w:r>
    </w:p>
    <w:p>
      <w:pPr>
        <w:pStyle w:val="BodyText"/>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pStyle w:val="BodyText"/>
      </w:pPr>
      <w:r>
        <w:t xml:space="preserve">Prediction 2 (neutrino sum 58.5 meV) is sharply falsifiable -- inverted ordering or a sum away from 58-59 meV kills it -- but sits where any minimal-normal-ordering model lands, so a confirming measurement would not select this framework.</w:t>
      </w:r>
    </w:p>
    <w:p>
      <w:pPr>
        <w:pStyle w:val="BodyText"/>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pStyle w:val="BodyText"/>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pStyle w:val="BodyText"/>
      </w:pPr>
      <w:r>
        <w:t xml:space="preserve">Prediction 18 (medium rest frame) commits no specific observable, and its derivation inherits a relation retired with the mesoscopic-hbar sector.</w:t>
      </w:r>
    </w:p>
    <w:p>
      <w:pPr>
        <w:pStyle w:val="BodyText"/>
      </w:pPr>
      <w:r>
        <w:t xml:space="preserve">Prediction 1 (the MOND scale g+ = cH0/2pi at zero parameters) is a real achievement and does NOT discriminate, because MOND fits the same observable.</w:t>
      </w:r>
    </w:p>
    <w:p>
      <w:pPr>
        <w:pStyle w:val="BodyText"/>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pStyle w:val="BodyText"/>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TWO FIRM ways to be distinguished from standard physics plus ONE CONDITIONAL, and several ways to be killed. The firm pair: (1) Prediction 6 (clock J1713, ~2027-2030); (2) Prediction 20's pin -- a resolved long-distance adjoint/fundamental ratio at -1.25 or -0.25 percent with C2-linear structure is a rope fingerprint, lattice-reachable now, its former grade conditionality discharged by author's ruling FND-093 with an armed return clause. The conditional: the FND-055 k-string statistic -- PARTIALLY ADJUDICATED at this sync (FND-101, Commission NUN, 2026-08-13). The demanded continuum determination was found to exist already: Athenodorou-Teper, JHEP 12 (2021) 082, sigma_2/sigma_f continuum-extrapolated for N = 2..12. At the level of that paper's global fits, the sine law's functional class is REJECTED: sine has identically zero 1/N coefficient, and the data prefers a nonzero leading-1/N binding at chi2/ndf 0.5 versus 2.2 -- the class the corpus derived, and the one FND-053 certified inexpressible without the label carrier. The old sine-favouring record (+8.3 percent, non-continuum) is SUPERSEDED. The exact coefficient is CONVICTED: measured 1.28(19)/N against the derived 2/N, a 3.8 sigma miss (binding at ~64 percent of derived strength), registered and not absorbed, with the softening disclosure again adverse. At point level the pre-registered FND-092 KILL CLAUSE FIRED (FND-102, Failed and kept): Table 14's SU(6) continuum point 1.654(13) sits 4.3 sigma above the softened-Casimir band top against the pre-committed 3-sigma threshold, with no post-hoc adjustment made -- the committed exchange-counting ratio is falsified at its own checkpoint, exactly as the band's registration promised it could be. Display: exact Casimir 1.600 misses at 4.15 sigma (above) and sine 1.732 at 6.0 sigma (below); the vacuum sits strictly between the laws, binding at 87-93 percent of Casimir across the safe-volume groups. The entry's character is therefore settled rather than pending: sine lost the class test outright, exact Casimir lost at its own pre-registered checkpoint, the 1/N class and the label carrier stand, the k=3 band remains armed, and the surviving falsifiable content is the shortfall mechanism -- a blind two-number target, b/b_CS = 0.865(33) at SU(6) and 0.64(10) asymptotic, which any candidate must predict with zero data contact. Eleven candidate mechanisms have since been eliminated on locked bars (FND-103/104: fixed suppressions die on N-dependence; every countable decoherence weight fails a three-part bar including the safe-volume profile), the surviving family requires partial and permanent orientation decoherence, and the missing object is identified as the exchange interaction's dynamical form (FND-107/108) -- an open grant question, deliberately pending, with its acceptance test pre-registered. The corpus also carries forty registered Failed-and-kept claims (regenerated from the v3.23.0 registry at this sync), which is the more informative number about whether it can be falsified. Full reasoning: ELEC-062, ELEC-063, ELEC-064, GRV-049, GRV-052, PRED-002-CONF, PRED-002-FREQ, PRED-003-CONF, PRED-003-META, PRED-003-J1713, QGATE-018.</w:t>
      </w:r>
    </w:p>
    <w:bookmarkStart w:id="23" w:name="prediction-1-the-mond-acceleration-scale"/>
    <w:p>
      <w:pPr>
        <w:pStyle w:val="Heading2"/>
      </w:pPr>
      <w:r>
        <w:t xml:space="preserve">Prediction 1 — The MOND Acceleration Scale</w:t>
      </w:r>
    </w:p>
    <w:p>
      <w:pPr>
        <w:pStyle w:val="FirstParagraph"/>
      </w:pPr>
      <w:r>
        <w:t xml:space="preserve">The relation. The MOND characteristic acceleration g† ≈ 1.2×10⁻¹⁰ m/s² is an empirical parameter in Modified Newtonian Dynamics and in the Radial Acceleration Relation observed in disk galaxies. The rope framework proposes it is not free but fixed by the Hubble rate:</w:t>
      </w:r>
    </w:p>
    <w:p>
      <w:pPr>
        <w:pStyle w:val="BodyText"/>
      </w:pPr>
      <w:r>
        <w:rPr>
          <w:bCs/>
          <w:b/>
        </w:rPr>
        <w:t xml:space="preserve">g† = c H₀ / 2π = c² / (2π R_H)</w:t>
      </w:r>
    </w:p>
    <w:p>
      <w:pPr>
        <w:pStyle w:val="BodyText"/>
      </w:pPr>
      <w:r>
        <w:t xml:space="preserve">connecting the galactic acceleration scale directly to cosmology using only c, H₀, and a geometric factor 2π. No galaxy-specific fitting enters.</w:t>
      </w:r>
    </w:p>
    <w:p>
      <w:pPr>
        <w:pStyle w:val="BodyText"/>
      </w:pPr>
      <w:r>
        <w:t xml:space="preserve">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pStyle w:val="BodyText"/>
      </w:pPr>
      <w:r>
        <w:t xml:space="preserve">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bookmarkEnd w:id="23"/>
    <w:bookmarkStart w:id="24" w:name="prediction-2-the-sum-of-neutrino-masses"/>
    <w:p>
      <w:pPr>
        <w:pStyle w:val="Heading2"/>
      </w:pPr>
      <w:r>
        <w:t xml:space="preserve">Prediction 2 — The Sum of Neutrino Masses</w:t>
      </w:r>
    </w:p>
    <w:p>
      <w:pPr>
        <w:pStyle w:val="FirstParagraph"/>
      </w:pPr>
      <w:r>
        <w:t xml:space="preserve">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pStyle w:val="BodyText"/>
      </w:pPr>
      <w:r>
        <w:rPr>
          <w:bCs/>
          <w:b/>
        </w:rPr>
        <w:t xml:space="preserve">Σmν = 58.5 meV</w:t>
      </w:r>
    </w:p>
    <w:p>
      <w:pPr>
        <w:pStyle w:val="BodyText"/>
      </w:pPr>
      <w:r>
        <w:t xml:space="preserve">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pPr>
        <w:pStyle w:val="BodyText"/>
      </w:pPr>
      <w:r>
        <w:t xml:space="preserve">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bookmarkEnd w:id="24"/>
    <w:bookmarkStart w:id="25" w:name="prediction-3-cosmic-birefringence-ebee"/>
    <w:p>
      <w:pPr>
        <w:pStyle w:val="Heading2"/>
      </w:pPr>
      <w:r>
        <w:t xml:space="preserve">Prediction 3 — Cosmic Birefringence (EB/EE)</w:t>
      </w:r>
    </w:p>
    <w:p>
      <w:pPr>
        <w:pStyle w:val="FirstParagraph"/>
      </w:pPr>
      <w:r>
        <w:t xml:space="preserve">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pPr>
        <w:pStyle w:val="BodyText"/>
      </w:pPr>
      <w:r>
        <w:rPr>
          <w:bCs/>
          <w:b/>
        </w:rPr>
        <w:t xml:space="preserve">EB/EE = sin(4β)/2 = 0.0119, flat in multipole ℓ</w:t>
      </w:r>
    </w:p>
    <w:p>
      <w:pPr>
        <w:pStyle w:val="BodyText"/>
      </w:pPr>
      <w:r>
        <w:t xml:space="preserve">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pPr>
        <w:pStyle w:val="BodyText"/>
      </w:pPr>
      <w:r>
        <w:t xml:space="preserve">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bookmarkEnd w:id="25"/>
    <w:bookmarkStart w:id="26" w:name="X2786ca6b4831281736e7e2b3fe1fc439f8f1cec"/>
    <w:p>
      <w:pPr>
        <w:pStyle w:val="Heading2"/>
      </w:pPr>
      <w:r>
        <w:rPr>
          <w:bCs/>
          <w:b/>
        </w:rPr>
        <w:t xml:space="preserve">Prediction 4 — The MOND Interpolation Shape [RETIRED at GRV-031]</w:t>
      </w:r>
    </w:p>
    <w:p>
      <w:pPr>
        <w:pStyle w:val="FirstParagraph"/>
      </w:pPr>
      <w:r>
        <w:t xml:space="preserve">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bookmarkEnd w:id="26"/>
    <w:bookmarkEnd w:id="27"/>
    <w:bookmarkStart w:id="30" w:name="part-ii-structural-consequences"/>
    <w:p>
      <w:pPr>
        <w:pStyle w:val="Heading1"/>
      </w:pPr>
      <w:r>
        <w:t xml:space="preserve">Part II — Structural Consequences</w:t>
      </w:r>
    </w:p>
    <w:bookmarkStart w:id="28" w:name="Xf7f8e5391a64b680861453623a1d999c38dcbf1"/>
    <w:p>
      <w:pPr>
        <w:pStyle w:val="Heading2"/>
      </w:pPr>
      <w:r>
        <w:t xml:space="preserve">Prediction 5 (Structural) — Gauge-Boson Koide Structure</w:t>
      </w:r>
    </w:p>
    <w:p>
      <w:pPr>
        <w:pStyle w:val="FirstParagraph"/>
      </w:pPr>
      <w: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bookmarkEnd w:id="28"/>
    <w:bookmarkStart w:id="29" w:name="X540fe7847209bc2fe1a41fd66dae1ab76e107e2"/>
    <w:p>
      <w:pPr>
        <w:pStyle w:val="Heading2"/>
      </w:pPr>
      <w:r>
        <w:t xml:space="preserve">Prediction 6 (Structural / Provisional) — Correlated Variation of α and G</w:t>
      </w:r>
    </w:p>
    <w:p>
      <w:pPr>
        <w:pStyle w:val="FirstParagraph"/>
      </w:pPr>
      <w:r>
        <w:t xml:space="preserve">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pPr>
        <w:pStyle w:val="BodyText"/>
      </w:pPr>
      <w:r>
        <w:rPr>
          <w:bCs/>
          <w:b/>
        </w:rPr>
        <w:t xml:space="preserve">d ln α = −2 d ln G (equivalently α̇/α = −2 Ġ/G)</w:t>
      </w:r>
    </w:p>
    <w:p>
      <w:pPr>
        <w:pStyle w:val="BodyText"/>
      </w:pPr>
      <w:r>
        <w:t xml:space="preserve">Inputs. DERIVED: α ∼ 2T²/(κa), whose chain is derived to rope-medium primitives with the locking energy J = T²/κ exact in the harmonic regime. ASSUMED: G ∼ 1/(Ta), the natural tension-rigidity scaling, NOT yet derived to the same rigor — the specific exponent −2 depends on it.</w:t>
      </w:r>
    </w:p>
    <w:p>
      <w:pPr>
        <w:pStyle w:val="BodyText"/>
      </w:pPr>
      <w:r>
        <w:t xml:space="preserve">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 Second use (FND-043): a measured nonzero drift ratio would select the source length l_q's composition and, through the registered inversion, read off the vacuum packing -- one measurement, channel identification and vacuum metrology both. This second use now carries two registered conditions, disclosed: FND-044 killed the dictionary composition table at number level (the compositional route to l_q is closed as computed), and the cross-link carries the named premise that the crossing contrast g is fixed under drift. The primary content of this prediction (the ratio -2, the J1713 clock, GRV-074 form-robustness) is untouched by either condition.</w:t>
      </w:r>
    </w:p>
    <w:bookmarkEnd w:id="29"/>
    <w:bookmarkEnd w:id="30"/>
    <w:bookmarkStart w:id="34" w:name="X02037aa7b4e3c30f37883fdfe2ce57196335891"/>
    <w:p>
      <w:pPr>
        <w:pStyle w:val="Heading1"/>
      </w:pPr>
      <w:r>
        <w:t xml:space="preserve">Part III — Extensibility and Molecular Geometry</w:t>
      </w:r>
    </w:p>
    <w:bookmarkStart w:id="31" w:name="X5f97f6ebbaf7cba19029b10c7e4a58c2b1cf71d"/>
    <w:p>
      <w:pPr>
        <w:pStyle w:val="Heading2"/>
      </w:pPr>
      <w:r>
        <w:t xml:space="preserve">Prediction 7 — Vacuum Kerr Nonlinearity, Quantified and Confronted</w:t>
      </w:r>
    </w:p>
    <w:p>
      <w:pPr>
        <w:pStyle w:val="FirstParagraph"/>
      </w:pPr>
      <w:r>
        <w:t xml:space="preserve">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pPr>
        <w:pStyle w:val="BodyText"/>
      </w:pPr>
      <w:r>
        <w:t xml:space="preserve">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bookmarkEnd w:id="31"/>
    <w:bookmarkStart w:id="32" w:name="Xaca1047dca11be73930a96f6275ab4b2c188234"/>
    <w:p>
      <w:pPr>
        <w:pStyle w:val="Heading2"/>
      </w:pPr>
      <w:r>
        <w:t xml:space="preserve">Prediction 8 (Structural) — A Dark Longitudinal Tension Channel</w:t>
      </w:r>
    </w:p>
    <w:p>
      <w:pPr>
        <w:pStyle w:val="FirstParagraph"/>
      </w:pPr>
      <w:r>
        <w:t xml:space="preserve">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SHARPENED AT v3.12 (FND-027/028): with the k/T₀ dispute adjudicated to the single registered value k/T₀ = 2, the channel speed acquires a committed one-sided floor, c_L ≥ √2 c = 1.414 c, with equality when the twist-stretch stiffening λγ²τ₀² is negligible against T₀ — and the cubic coupling coefficient is now committed at (k−T₀)/2 = T₀/2, finite and O(1) in tension units (superseding an earlier remark that it grows without bound, which described the inextensible limit the adjudication closed). The floor and the nuclear/chemical core coefficient c₄ = (k−T₀)/8 = T₀/8 are set by the SAME constant: one number, two sectors, zero freedom between them. Falsifiers, sharpened: any determination of the longitudinal channel speed below √2 c; any observed LINEAR coupling to the channel; or a spacing-sector re-determination forcing k/T₀ far from 2, which breaks the cross-sector lock.</w:t>
      </w:r>
    </w:p>
    <w:bookmarkEnd w:id="32"/>
    <w:bookmarkStart w:id="33" w:name="X448a1c2de6006ae56ea9b01761a367e092df518"/>
    <w:p>
      <w:pPr>
        <w:pStyle w:val="Heading2"/>
      </w:pPr>
      <w:r>
        <w:t xml:space="preserve">Prediction 9 — The Heavy-Hydride 90-Degree Asymptote</w:t>
      </w:r>
    </w:p>
    <w:p>
      <w:pPr>
        <w:pStyle w:val="FirstParagraph"/>
      </w:pPr>
      <w:r>
        <w:t xml:space="preserve">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pPr>
        <w:pStyle w:val="BodyText"/>
      </w:pPr>
      <w:r>
        <w:t xml:space="preserve">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bookmarkEnd w:id="33"/>
    <w:bookmarkEnd w:id="34"/>
    <w:bookmarkStart w:id="41" w:name="Xe68dfa8f02bc66ff67bfa66981d19618d4c543c"/>
    <w:p>
      <w:pPr>
        <w:pStyle w:val="Heading1"/>
      </w:pPr>
      <w:r>
        <w:t xml:space="preserve">Part IV — The Measurement-Sector Family (added at v2.2.5)</w:t>
      </w:r>
    </w:p>
    <w:p>
      <w:pPr>
        <w:pStyle w:val="FirstParagraph"/>
      </w:pPr>
      <w:r>
        <w:t xml:space="preserve">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bookmarkStart w:id="35" w:name="X89c5fe74a0310fddc6192d22eb50820ad765c6a"/>
    <w:p>
      <w:pPr>
        <w:pStyle w:val="Heading2"/>
      </w:pPr>
      <w:r>
        <w:t xml:space="preserve">Prediction 10 — The Gapped Environmental Noise Floor (scale-open)</w:t>
      </w:r>
    </w:p>
    <w:p>
      <w:pPr>
        <w:pStyle w:val="FirstParagraph"/>
      </w:pPr>
      <w:r>
        <w:t xml:space="preserve">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 KINETIC COROLLARY (v3.7.0, FND-STRAND-010/013): the same gap is the CLOCK of detector kinetics — the Kramers attempt rate in Prediction 11's steady-state dark-count law sits at the gap frequency to O(1), confirmed on two estimators with opposite failure modes. Two instrument-facing predictions, one spectral location: a rigidity a flexible framework could not manufacture.</w:t>
      </w:r>
    </w:p>
    <w:bookmarkEnd w:id="35"/>
    <w:bookmarkStart w:id="36" w:name="X2c66d4739c68539aea27cbbcf9ede4a74bf089d"/>
    <w:p>
      <w:pPr>
        <w:pStyle w:val="Heading2"/>
      </w:pPr>
      <w:r>
        <w:t xml:space="preserve">Prediction 11 — Detection Is Nucleation Kinetics</w:t>
      </w:r>
    </w:p>
    <w:p>
      <w:pPr>
        <w:pStyle w:val="FirstParagraph"/>
      </w:pPr>
      <w:r>
        <w:t xml:space="preserve">The relation, in its FINAL TWO-REGIME FORM (the strand-kinetics campaign, FND-STRAND-009..021, v3.7.0 and after). The detector click is a thermally activated topological event (kink-pair nucleation, FND-STRAND-006/007). STEADY STATE: at every detector size, clicks are Poisson — exponential waiting times at the stationary Kramers rate, Arrhenius in temperature, with the attempt-rate prefactor at the weave band gap (the strand mass scale; FND-STRAND-010, estimator-robust per FND-STRAND-013) and latency decreasing with channel energy. AFTER A QUENCH (power-up, reset, sudden isolation): the click rate starts elevated and relaxes to the steady value over one bath-correlation epoch — product-state initial slip (FND-STRAND-021), measurable as a dark-count rate drifting DOWN while the device temperature holds CONSTANT, a signature no thermal-drift model reproduces. The quench transient's size dependence is an exact, parameter-free law (Prediction 24). SUPERSEDED WITHIN THIS PREDICTION: the earlier open-ended non-exponential phrasing, and an interim mechanism-conditional drift claim retired at FND-STRAND-016 — the registry records both. DERIVED: the event's existence, localization, irreversibility, channel-energy drive, and (at Derived status) the size law. HONEST CAVEAT: parts of the steady-state package resemble known avalanche-detector phenomenology; the commitment is to the WHOLE package including the quench regime, which does not. Falsifiers: steady-state click statistics that are non-activated or non-Poisson where the model's detector physics applies; OR a small isolated detector that shows NO quench transient under conditions where the model requires one; OR a quench transient whose decay tracks device temperature rather than persisting at constant temperature.</w:t>
      </w:r>
    </w:p>
    <w:bookmarkEnd w:id="36"/>
    <w:bookmarkStart w:id="37" w:name="X5c646b0c2ea88d6f0cd951da5326014608cd06c"/>
    <w:p>
      <w:pPr>
        <w:pStyle w:val="Heading2"/>
      </w:pPr>
      <w:r>
        <w:t xml:space="preserve">Prediction 12 — Spin-½ Requires Extension (one-sided)</w:t>
      </w:r>
    </w:p>
    <w:p>
      <w:pPr>
        <w:pStyle w:val="FirstParagraph"/>
      </w:pPr>
      <w:r>
        <w:t xml:space="preserve">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bookmarkEnd w:id="37"/>
    <w:bookmarkStart w:id="38" w:name="X1456558e9127b5165d2165c86ec355cdf233ca6"/>
    <w:p>
      <w:pPr>
        <w:pStyle w:val="Heading2"/>
      </w:pPr>
      <w:r>
        <w:t xml:space="preserve">Prediction 13 — Tsirelson Forever, with the Failed Organ Named</w:t>
      </w:r>
    </w:p>
    <w:p>
      <w:pPr>
        <w:pStyle w:val="FirstParagraph"/>
      </w:pPr>
      <w:r>
        <w:t xml:space="preserve">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bookmarkEnd w:id="38"/>
    <w:bookmarkStart w:id="39" w:name="X4d54c4a551cede625b1b39eab6d5f5690f7ad1b"/>
    <w:p>
      <w:pPr>
        <w:pStyle w:val="Heading2"/>
      </w:pPr>
      <w:r>
        <w:t xml:space="preserve">Prediction 14 — Born's Square from Channel Energy</w:t>
      </w:r>
    </w:p>
    <w:p>
      <w:pPr>
        <w:pStyle w:val="FirstParagraph"/>
      </w:pPr>
      <w:r>
        <w:t xml:space="preserve">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bookmarkEnd w:id="39"/>
    <w:bookmarkStart w:id="40" w:name="Xc452cf491461368d6bd4946f6ca472003bcb004"/>
    <w:p>
      <w:pPr>
        <w:pStyle w:val="Heading2"/>
      </w:pPr>
      <w:r>
        <w:t xml:space="preserve">Prediction 15 — Analog Universality (testable now)</w:t>
      </w:r>
    </w:p>
    <w:p>
      <w:pPr>
        <w:pStyle w:val="FirstParagraph"/>
      </w:pPr>
      <w:r>
        <w:t xml:space="preserve">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pPr>
        <w:pStyle w:val="BodyText"/>
      </w:pPr>
      <w:r>
        <w:rPr>
          <w:iCs/>
          <w:i/>
        </w:rPr>
        <w:t xml:space="preserve">A retrodiction, declared as such: the Călugăreanu ledger and the supercoiling instability (FND-STRAND-003) are confirmed daily by DNA mechanics — consistency evidence for the strand engine, counted here as retrodiction, not prediction.</w:t>
      </w:r>
    </w:p>
    <w:bookmarkEnd w:id="40"/>
    <w:bookmarkEnd w:id="41"/>
    <w:bookmarkStart w:id="42" w:name="honest-status-of-the-framework"/>
    <w:p>
      <w:pPr>
        <w:pStyle w:val="Heading1"/>
      </w:pPr>
      <w:r>
        <w:t xml:space="preserve">Honest Status of the Framework</w:t>
      </w:r>
    </w:p>
    <w:p>
      <w:pPr>
        <w:pStyle w:val="FirstParagraph"/>
      </w:pPr>
      <w:r>
        <w:t xml:space="preserve">For any reviewer evaluating these predictions, the following should be stated plainly:</w:t>
      </w:r>
    </w:p>
    <w:p>
      <w:pPr>
        <w:pStyle w:val="BodyText"/>
      </w:pPr>
      <w:r>
        <w:t xml:space="preserve">The rope hypothesis is non-standard, self-published, and not peer-reviewed. These predictions are presented as empirical consequences of specific stated relations, not as derivations from established physics.</w:t>
      </w:r>
    </w:p>
    <w:p>
      <w:pPr>
        <w:pStyle w:val="BodyText"/>
      </w:pPr>
      <w:r>
        <w:t xml:space="preserve">Two of the four testable numbers (the neutrino π/12 offset; the MOND 2π coefficient) rest on inputs that are empirical choices, not derived. They are falsifiable but not parameter-free, and we have marked exactly where.</w:t>
      </w:r>
    </w:p>
    <w:p>
      <w:pPr>
        <w:pStyle w:val="BodyText"/>
      </w:pPr>
      <w:r>
        <w:t xml:space="preserve">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pPr>
        <w:pStyle w:val="BodyText"/>
      </w:pPr>
      <w:r>
        <w:t xml:space="preserve">The strongest internal result — lepton mass RATIOS from φ = (3+Φ)θ_W to ~0.5% — is a CONJECTURE, not a theorem, and is not listed among the numbers above.</w:t>
      </w:r>
    </w:p>
    <w:p>
      <w:pPr>
        <w:pStyle w:val="BodyText"/>
      </w:pPr>
      <w:r>
        <w:t xml:space="preserve">Within the measurement sector, two grants remain and are named wherever they matter: the pair is one thing (Bell-protected), and the weave is warm (a temperature, not a law).</w:t>
      </w:r>
    </w:p>
    <w:bookmarkEnd w:id="42"/>
    <w:bookmarkStart w:id="43" w:name="acknowledgment-of-origin"/>
    <w:p>
      <w:pPr>
        <w:pStyle w:val="Heading1"/>
      </w:pPr>
      <w:r>
        <w:t xml:space="preserve">Acknowledgment of Origin</w:t>
      </w:r>
    </w:p>
    <w:p>
      <w:pPr>
        <w:pStyle w:val="FirstParagraph"/>
      </w:pPr>
      <w: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bookmarkEnd w:id="43"/>
    <w:bookmarkStart w:id="44" w:name="references"/>
    <w:p>
      <w:pPr>
        <w:pStyle w:val="Heading1"/>
      </w:pPr>
      <w:r>
        <w:t xml:space="preserve">References</w:t>
      </w:r>
    </w:p>
    <w:p>
      <w:pPr>
        <w:pStyle w:val="FirstParagraph"/>
      </w:pPr>
      <w:r>
        <w:t xml:space="preserve">Eskilt, J. R. &amp; Komatsu, E. 2022, Phys. Rev. D 106, 063503 (cosmic birefringence).</w:t>
      </w:r>
    </w:p>
    <w:p>
      <w:pPr>
        <w:pStyle w:val="BodyText"/>
      </w:pPr>
      <w:r>
        <w:t xml:space="preserve">Brannen, C. 2006, unpublished (Koide neutrino phase offset π/12).</w:t>
      </w:r>
    </w:p>
    <w:p>
      <w:pPr>
        <w:pStyle w:val="BodyText"/>
      </w:pPr>
      <w:r>
        <w:t xml:space="preserve">Koide, Y. 1983, Phys. Lett. B 120, 161 (charged-lepton mass relation).</w:t>
      </w:r>
    </w:p>
    <w:p>
      <w:pPr>
        <w:pStyle w:val="BodyText"/>
      </w:pPr>
      <w:r>
        <w:t xml:space="preserve">Lelli, F., McGaugh, S. &amp; Schombert, J. 2016, AJ 152, 157 (SPARC database).</w:t>
      </w:r>
    </w:p>
    <w:p>
      <w:pPr>
        <w:pStyle w:val="BodyText"/>
      </w:pPr>
      <w:r>
        <w:t xml:space="preserve">Software: rope-framework v2.2.5 (open source; DOI 10.5281/zenodo.21430784) — frozen benchmark IDs; every number in this note reproducible from the registry (claims.yaml) and its 155 passing benchmarks.</w:t>
      </w:r>
    </w:p>
    <w:p>
      <w:pPr>
        <w:pStyle w:val="BodyText"/>
      </w:pPr>
      <w:r>
        <w:t xml:space="preserve">Correspondence: Mark Palmer, Charlotte, NC · palmer100@gmail.com. The author writes in a personal capacity.</w:t>
      </w:r>
    </w:p>
    <w:p>
      <w:pPr>
        <w:pStyle w:val="BodyText"/>
      </w:pPr>
      <w:r>
        <w:rPr>
          <w:bCs/>
          <w:b/>
        </w:rPr>
        <w:t xml:space="preserve">Part V — The Black-Hole Discriminators (added at v2.2.8)</w:t>
      </w:r>
    </w:p>
    <w:p>
      <w:pPr>
        <w:pStyle w:val="BodyText"/>
      </w:pPr>
      <w:r>
        <w:rPr>
          <w:bCs/>
          <w:b/>
        </w:rPr>
        <w:t xml:space="preserve">Prediction 16 — Isolated Black Holes Do Not Evaporate</w:t>
      </w:r>
    </w:p>
    <w:p>
      <w:pPr>
        <w:pStyle w:val="BodyText"/>
      </w:pPr>
      <w:r>
        <w:t xml:space="preserve">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pStyle w:val="BodyText"/>
      </w:pPr>
      <w:r>
        <w:rPr>
          <w:bCs/>
          <w:b/>
        </w:rPr>
        <w:t xml:space="preserve">Prediction 17 — The Whisper: Accretion-Powered Emission with a Running-Temperature Tail</w:t>
      </w:r>
    </w:p>
    <w:p>
      <w:pPr>
        <w:pStyle w:val="BodyText"/>
      </w:pPr>
      <w:r>
        <w:t xml:space="preserve">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 UPDATE (v3.5.0): the frequency LAW is now derived from a second, independent route — the strong-field mechanism chain (statics to ratchet thermodynamics, GRV-077..087) produces T_inf proportional to kappa by exact cancellation — but the two routes DISAGREE on the coefficient by roughly four orders of magnitude (mechanism 2e-6..3e-5 vs this entry’s 0.23, GRV-088), a prediction-meets-prediction tension registered at full strength with suspects pre-listed on both chains. Readers should treat the 0.23 value and the ~180 Hz stellar figure as STANDING – the coefficient campaign has adjudicated (GRV-089..091): the tension was a CATEGORY ERROR, a temperature coefficient set against a ringing-frequency coefficient. The emission is impulsive (discrete reconnection snaps ring the throat at its resonance regardless of rate – Campbell’s theorem), so the pitch is geometric and stands at 0.23 kappa, while the mechanism’s T_inf = C hbar kappa governs the EVENT RATE. Both chains vindicated at their own questions; the proportionality to kappa, the switch-class luminosity, and the running-tail discriminator are unaffected (all three are coefficient-independent).</w:t>
      </w:r>
    </w:p>
    <w:p>
      <w:pPr>
        <w:pStyle w:val="BodyText"/>
      </w:pPr>
      <w:r>
        <w:rPr>
          <w:bCs/>
          <w:b/>
        </w:rPr>
        <w:t xml:space="preserve">Part VI — The Medium-Frame and Polarimetry Discriminators (added at v2.6)</w:t>
      </w:r>
    </w:p>
    <w:p>
      <w:pPr>
        <w:pStyle w:val="BodyText"/>
      </w:pPr>
      <w:r>
        <w:rPr>
          <w:bCs/>
          <w:b/>
        </w:rPr>
        <w:t xml:space="preserve">Prediction 18 — The Medium's Rest Frame Is the CMB Frame</w:t>
      </w:r>
    </w:p>
    <w:p>
      <w:pPr>
        <w:pStyle w:val="BodyText"/>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pStyle w:val="BodyText"/>
      </w:pPr>
      <w:r>
        <w:t xml:space="preserve">Inputs. DERIVED: that a material medium defines a frame at all, and the (v/c)^2 scaling of the resulting anisotropy. MEASURED: the solar-system velocity relative to the CMB.</w:t>
      </w:r>
    </w:p>
    <w:p>
      <w:pPr>
        <w:pStyle w:val="BodyText"/>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pStyle w:val="BodyText"/>
      </w:pPr>
      <w:r>
        <w:rPr>
          <w:bCs/>
          <w:b/>
        </w:rPr>
        <w:t xml:space="preserve">Prediction 19 — Vacuum Stiffness and the Photon Quartic on One Polarimetry Axis</w:t>
      </w:r>
    </w:p>
    <w:p>
      <w:pPr>
        <w:pStyle w:val="BodyText"/>
      </w:pPr>
      <w:r>
        <w:t>The relation. Consistency of additivity, Lorentz invariance and the corpus's coherence count forces the vacuum stiffness Sigma_eff = 3.61e35 J/m^3 (pinned by measurement, FND-030; the historical 5.1e35 registration is demoted -- same relation, dead strand count).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pStyle w:val="BodyText"/>
      </w:pPr>
      <w:r>
        <w:t xml:space="preserve">Inputs. DERIVED: the Sigma bound from the stated consistency conditions; the (4,7) acceptance structure. NOT YET BUILT: the rope electron model itself, so the second half is a standing acceptance test rather than a completed prediction.</w:t>
      </w:r>
    </w:p>
    <w:p>
      <w:pPr>
        <w:pStyle w:val="BodyText"/>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pStyle w:val="BodyText"/>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bookmarkEnd w:id="44"/>
    <w:bookmarkStart w:id="45" w:name="registered-claims-in-this-paper"/>
    <w:p>
      <w:pPr>
        <w:pStyle w:val="Heading1"/>
      </w:pPr>
      <w:r>
        <w:t xml:space="preserve">Registered Claims in This Paper</w:t>
      </w:r>
    </w:p>
    <w:p>
      <w:pPr>
        <w:pStyle w:val="FirstParagraph"/>
      </w:pPr>
      <w:r>
        <w:t xml:space="preserve">Each statement below is traceable to the machine-readable registry (claims.yaml), the corpus's single source of truth; every benchmark reruns from source.</w:t>
      </w:r>
    </w:p>
    <w:p>
      <w:pPr>
        <w:pStyle w:val="BodyText"/>
      </w:pPr>
      <w:r>
        <w:t xml:space="preserve">• CHEM-GEO-002 [Derived]: HEAVY-HYDRIDE 90-DEGREE ASYMPTOTE [benchmark: benchmarks/em/heavy_hydride_asymptote.py]</w:t>
      </w:r>
    </w:p>
    <w:p>
      <w:pPr>
        <w:pStyle w:val="BodyText"/>
      </w:pPr>
      <w:r>
        <w:t xml:space="preserve">• FND-STRAND-005 [Modeled]: THE INTERACTION MODEL ON LITERAL STRANDS — the framed strand is the SU(2) lift [benchmark: benchmarks/foundations/strand_interaction_model.py]</w:t>
      </w:r>
    </w:p>
    <w:p>
      <w:pPr>
        <w:pStyle w:val="BodyText"/>
      </w:pPr>
      <w:r>
        <w:t xml:space="preserve">• FND-STRAND-006 [Modeled]: THE NUCLEATION EVENT ON STRANDS — the dot as topological event [benchmark: benchmarks/foundations/strand_nucleation.py]</w:t>
      </w:r>
    </w:p>
    <w:p>
      <w:pPr>
        <w:pStyle w:val="BodyText"/>
      </w:pPr>
      <w:r>
        <w:t xml:space="preserve">• FND-STRAND-007 [Modeled]: THE WEAVE AS RESERVOIR — the bath derived [benchmark: benchmarks/foundations/strand_weave_reservoir.py]</w:t>
      </w:r>
    </w:p>
    <w:p>
      <w:pPr>
        <w:pStyle w:val="BodyText"/>
      </w:pPr>
      <w:r>
        <w:t xml:space="preserve">• FND-STRAND-008 [Modeled]: THE WEAVE SPECTRUM FROM THE ENGINE — the bath is gapped [benchmark: benchmarks/foundations/strand_weave_spectrum.py]</w:t>
      </w:r>
    </w:p>
    <w:p>
      <w:pPr>
        <w:pStyle w:val="BodyText"/>
      </w:pPr>
      <w:r>
        <w:t xml:space="preserve">• QB-019 [Derived]: MECHANISM-UNITY SELECTS TSIRELSON [benchmark: benchmarks/bell/tsirelson_selection.py]</w:t>
      </w:r>
    </w:p>
    <w:p>
      <w:pPr>
        <w:pStyle w:val="BodyText"/>
      </w:pPr>
      <w:r>
        <w:t xml:space="preserve">• QB-022 [Modeled]: MECHANISM-UNITY DECOMPOSED AND GROUNDED (SOVO) [benchmark: benchmarks/bell/mechanism_unity_grounded.py]</w:t>
      </w:r>
    </w:p>
    <w:p>
      <w:pPr>
        <w:pStyle w:val="BodyText"/>
      </w:pPr>
      <w:r>
        <w:t xml:space="preserve">• GRV-039 [Modeled]: ISOLATED BLACK HOLES DO NOT EVAPORATE [benchmark: benchmarks/grv/horizon_evaporation.py]</w:t>
      </w:r>
    </w:p>
    <w:p>
      <w:pPr>
        <w:pStyle w:val="BodyText"/>
      </w:pPr>
      <w:r>
        <w:t xml:space="preserve">• HBAR-010 [Modeled]: THE FORMATION-ERA MEDIUM MEETS COSMOLOGY — the medium frame is the CMB frame [benchmark: benchmarks/foundations/hbar_cosmological_test.py]</w:t>
      </w:r>
    </w:p>
    <w:p>
      <w:pPr>
        <w:pStyle w:val="BodyText"/>
      </w:pPr>
      <w:r>
        <w:t>• QGATE-007 [Modeled]: THE VACUUM STIFFNESS BOUND Sigma_eff = 3.61e35 J/m^3 (pinned by measurement, FND-030; the historical 5.1e35 registration is demoted -- same relation, dead strand count) [benchmark: benchmarks/qgate/vacuum_stiffness.py]</w:t>
      </w:r>
    </w:p>
    <w:p>
      <w:pPr>
        <w:pStyle w:val="BodyText"/>
      </w:pPr>
      <w:r>
        <w:t xml:space="preserve">• QGATE-010 [Modeled]: THE MATTER-SECTOR BIREFRINGENCE — the polarimetry axis becomes a spin-meter [benchmark: benchmarks/qgate/matter_birefringence.py]</w:t>
      </w:r>
    </w:p>
    <w:p>
      <w:pPr>
        <w:pStyle w:val="BodyText"/>
      </w:pPr>
      <w:r>
        <w:t xml:space="preserve">• PRED-001 [Modeled]: THE NEUTRINO MASS SUM = 58.47 meV [benchmark: benchmarks/foundations/pred_neutrino_mass_sum.py]</w:t>
      </w:r>
    </w:p>
    <w:p>
      <w:pPr>
        <w:pStyle w:val="BodyText"/>
      </w:pPr>
      <w:r>
        <w:t xml:space="preserve">• PRED-002 [Modeled]: COSMIC BIREFRINGENCE EB/EE = sin(4 beta)/2, FLAT IN MULTIPOLE [benchmark: benchmarks/foundations/pred_cosmic_birefringence.py]</w:t>
      </w:r>
    </w:p>
    <w:p>
      <w:pPr>
        <w:pStyle w:val="BodyText"/>
      </w:pPr>
      <w:r>
        <w:t xml:space="preserve">• PRED-003 [Modeled]: THE COUPLING-DRIFT RATIO d ln alpha = -2 d ln G [benchmark: benchmarks/foundations/pred_alpha_g_drift.py]</w:t>
      </w:r>
    </w:p>
    <w:p>
      <w:r>
        <w:rPr>
          <w:b/>
        </w:rPr>
        <w:t xml:space="preserve">THE PHOTON SECTOR AT HIGH ENERGY -- THE FAILURE, THE REPAIR, AND WHAT REMAINS OWED (FND-058..062; FND-083..091; status as of the v3.23.0 sync, 2026-08-12)</w:t>
      </w:r>
    </w:p>
    <w:p>
      <w:r>
        <w:t xml:space="preserve">The failure, first, at full volume, because a reviewer must meet it here and not by archaeology. The medium as originally specified -- straight strands at the registered spacing -- cannot carry the observed PeV gamma rays: the transparency ceiling E_max ~ hbar c / a sits orders below the LHAASO photons, and the corpus's own adjudicated diagnosis is ANISOTROPY, not a cutoff -- PeV propagation confined to ~1e-9 of the sky, contradicting both the framework's Derived isotropic wave sector (FND-REL-002) and the all-sky source distribution. Four escapes were prosecuted and closed on locked bars before any repair was attempted: the loaded continuum, the collective mode, the operator class (via Gershgorin), and length-tuning (blocked by the electron anchors at fixed tension). Every accessible-energy result in this paper is untouched by the failure; the failure was registered openly and priced before it was repaired.</w:t>
      </w:r>
    </w:p>
    <w:p>
      <w:r>
        <w:t xml:space="preserve">The repair, adopted and then largely derived (the SHIN arc, FND-083..091). The vacuum strand is a bundle of finer sub-strands under REDISTRIBUTED tension (T0_f = T0/n_sub -- c, Sigma, and both Lorentz margins exactly invariant, so the registered length-tuning conviction does not fire), over-resolved to a_f &lt;= lambda/4 at the highest carried photon energy, and hierarchically WOUND. The winding is not chosen: isotropy's own moment conditions force hierarchy depth two (a one-line theorem) and fix both pitch angles in closed form -- psi_1 = arcsin(1/sqrt 3) = 35.26 deg and psi_2 = arcsin(sqrt((15 + 2 sqrt 30)/35)) = 59.44 deg -- with the registered Lorentz floors selecting between the quadratic's roots, and the solution is unique up to level relabeling (exhaustive exact solve). Two kept failures bracket the adopted regime (loose winding scatters; pitch-matched winding Bragg-scatters); the homogenized regime passes all locked dispersion bars in 2D and, at the derived angles, the 3D two-polarization check on a triply-controlled instrument (FND-089). The framework's forced Lorentz-invariant wave sector is RE-DERIVED on the wound carriers at Derived grade, homogenized scope (FND-090), and the bending cost is priced as a registered constraint, kb &lt;= 0.126 T0_f a_f^2, consistent with the standing slender-fiber picture and armed against any future kb derivation (FND-091).</w:t>
      </w:r>
    </w:p>
    <w:p>
      <w:r>
        <w:t xml:space="preserve">What remains owed, disclosed with numbers on it. The two absolute scales (m, the over-resolution factor, and n_sub, the sub-strand count) are underived -- the class where this corpus has always located its irreducible bottom -- and the discrete O((ka)^2) question is unchanged from the coarse medium. The soft falsifier stays armed: any confirmed astrophysical photon above m x 1.4 PeV forces m upward; because m is underived, that observation constrains rather than kills. The process failure that let the original ceiling stand unconfronted for as long as it did is registered, with the resulting house rule, in KNOWN_LIMITATIONS; as of v3.23.1 the limitation is RESOLVED and moved to the permanent record at docs/RESOLVED_LIMITATIONS.md (kept history preserved in full), with the residual general-class items -- the underived scales, the discrete O((ka)^2) question, the armed soft falsifier -- living in their standing corpus homes; this section is the resolution's paper-facing statement.</w:t>
      </w:r>
    </w:p>
    <w:p>
      <w:pPr>
        <w:pStyle w:val="BodyText"/>
      </w:pPr>
      <w:r>
        <w:rPr>
          <w:bCs/>
          <w:b/>
        </w:rPr>
        <w:t xml:space="preserve">Part VII — The Strong-Field Campaign’s Additions (added at v3.5.0)</w:t>
      </w:r>
    </w:p>
    <w:p>
      <w:pPr>
        <w:pStyle w:val="BodyText"/>
      </w:pPr>
      <w:r>
        <w:rPr>
          <w:bCs/>
          <w:b/>
        </w:rPr>
        <w:t xml:space="preserve">Prediction 20 — The Hawking Law-Form from Statics (internal, now adjudicable in-house)</w:t>
      </w:r>
    </w:p>
    <w:p>
      <w:pPr>
        <w:pStyle w:val="BodyText"/>
      </w:pPr>
      <w:r>
        <w:t xml:space="preserve">The strong-field campaign (GRV-074..088) derived, with bars locked before every session: the horizon’s support statics (load-share and staticity as theorems), an energy-honest interior (accretion emerging unasked; collapse as permanent recorded structure), and a temperature chain — pressing x thickness = barrier (the lift-over theorem); barrier x 15.67 = bit-cost (measured to three digits); bit-cost over a counted 4-to-6 modes = temperature — whose three exact cancellations deliver T_inf = (beta K h/m*) kappa: the observed temperature proportional to surface gravity, with Hawking nowhere in the inputs. The FALSIFIABLE content is unusual and precious: the corpus now owns TWO independent internal routes to one dimensionless number (the whisper’s frequency coefficient), and they disagree by four orders. At least one chain carries an unearned link; the pre-listed suspects (the bit-cost’s engine-parameter provenance, prime; the thickness convention; the cell-energy identification; the original mode identification) make the adjudication a bounded computation, not a judgment call. This was a theory subpoenaing itself, and THE VERDICT IS IN (GRV-089..091, August 2026): beta promoted to a universal function with its operating point measured; the pile-up eliminated by exact cancellation; the mode identification vindicated by Campbell’s theorem; and the confrontation itself convicted of a category error – the emitter is crackling-noise class (cold thermodynamics, bright snaps), the pitch geometric, the rate thermodynamic, both predictions right at their own questions. The case is CLOSED; the surviving open item is the quantum of the ring (whether each snap’s energy matches hbar omega_ring), which is the hbar frontier itself. [GRV-087, GRV-088; benchmarks/gravity/flux_confrontation.py, coefficient_evaluation.py]</w:t>
      </w:r>
    </w:p>
    <w:p>
      <w:pPr>
        <w:pStyle w:val="BodyText"/>
      </w:pPr>
      <w:r>
        <w:rPr>
          <w:bCs/>
          <w:b/>
        </w:rPr>
        <w:t xml:space="preserve">Prediction 21 — The Lattice Fork’s Eighteen-Order Lever (internal discriminator, named)</w:t>
      </w:r>
    </w:p>
    <w:p>
      <w:pPr>
        <w:pStyle w:val="BodyText"/>
      </w:pPr>
      <w:r>
        <w:t>The lattice-scale survey (GRV-076) found ZERO live pins of the spacing a: the corpus’s two candidate scales (Lorentz-bound 1e-16 m; Sakharov selection 1.26e-34 m — eight Planck lengths, selected by a 96-site zero-point coefficient, GRV-075) [UPDATE 2026-08-09, GRV-101: the 96-site coefficient was EXTENSIVE -- the registered zeta carried the ring size sqrt(96), and the corrected intensive chain selects a = 0.80 Planck lengths, with the covariant chain giving (0, 0.18] l_P on the positivity half-line. The PLANCK-CLASS selection stands and is stronger; the digit eight does not.] sit on an exact degeneracy line along which every registered invariant is unchanged. The fork is a single bit — is the Sakharov identification true? — and the strong-field campaign handed it its strongest lever: the Hawking-form coefficient differs between the branches by EIGHTEEN ORDERS. Whichever way the coefficient campaign resolves Prediction 20, the surviving value will also decide the fork, collapsing the corpus’s last scale ambiguity. The external discriminator remains registered alongside: the Sigma-sensitive vacuum nonlinearity (PVLAS-class), on which the forks differ by 6.3e35. [GRV-074..076, GRV-088]</w:t>
      </w:r>
    </w:p>
    <w:p>
      <w:pPr>
        <w:pStyle w:val="BodyText"/>
      </w:pPr>
      <w:r>
        <w:rPr>
          <w:bCs/>
          <w:b/>
        </w:rPr>
        <w:t xml:space="preserve">Prediction 16, reaffirmed with a mechanism.</w:t>
      </w:r>
      <w:r>
        <w:t xml:space="preserve"> The isolated-hole silence (no evaporation; primordial black holes do not explode) now rests on machinery rather than absence: the ratchet requires feeding to break crossings, the emission channel is re-formation of eaten crossings, and an unfed shell has neither. The falsifier is unchanged and armed: one observed terminal PBH burst kills the branch. [GRV-081, GRV-085]</w:t>
      </w:r>
    </w:p>
    <w:p>
      <w:pPr>
        <w:pStyle w:val="BodyText"/>
      </w:pPr>
      <w:r>
        <w:rPr>
          <w:bCs/>
          <w:b/>
        </w:rPr>
        <w:t xml:space="preserve">Prediction 22 — J1713 Refutability, Certified Form-Robust</w:t>
      </w:r>
    </w:p>
    <w:p>
      <w:pPr>
        <w:pStyle w:val="BodyText"/>
      </w:pPr>
      <w:r>
        <w:t xml:space="preserve">The G-constitutive audit (GRV-074) certified that the binary-pulsar refutability of the corpus’s coupling-drift structure survives EVERY candidate closure of the G form, at millions of clock sigmas per candidate: the decidability of PRED-003’s family this decade is G-form-robust — values were conditional, the verdict is not. [GRV-074; benchmarks/gravity/G_constitutive_bracket.py]</w:t>
      </w:r>
    </w:p>
    <w:p>
      <w:pPr>
        <w:pStyle w:val="BodyText"/>
      </w:pPr>
      <w:r>
        <w:rPr>
          <w:b/>
        </w:rPr>
        <w:t xml:space="preserve">Prediction 23 — The Switch-On Fingerprint (dark-count drift at constant temperature)</w:t>
      </w:r>
      <w:r>
        <w:t xml:space="preserve"/>
      </w:r>
    </w:p>
    <w:p>
      <w:pPr>
        <w:pStyle w:val="BodyText"/>
      </w:pPr>
      <w:r>
        <w:t xml:space="preserve">The relation. A small, well-isolated threshold detector, freshly reset or powered up, shows dark counts whose waiting times are non-exponential and whose apparent rate declines toward the steady value over one bath-correlation epoch, WHILE every stationary aggregate — device temperature, delivered noise intensity — holds constant (FND-STRAND-014..016 measured the flats; FND-STRAND-021 identified the mechanism as product-state initial slip and removed the transient by equilibrium preparation, R_eq = 0.93 at the registered plateau rate). In steady state the same detector is textbook Poisson. STATUS: Modeled (shape and relationships; absolute timescale scale-open per FND-MATTER-003). Falsifier: a small isolated detector prepared by quench that shows constant-rate exponential dark counts from the first moment at the model-relevant scale, or a transient that tracks measured temperature drift.</w:t>
      </w:r>
    </w:p>
    <w:p>
      <w:pPr>
        <w:pStyle w:val="BodyText"/>
      </w:pPr>
      <w:r>
        <w:rPr>
          <w:b/>
        </w:rPr>
        <w:t xml:space="preserve">Prediction 24 — The Detector Size Law (parameter-free Poissonization)</w:t>
      </w:r>
      <w:r>
        <w:t xml:space="preserve"/>
      </w:r>
    </w:p>
    <w:p>
      <w:pPr>
        <w:pStyle w:val="BodyText"/>
      </w:pPr>
      <w:r>
        <w:t xml:space="preserve">The relation. For detectors prepared identically after a quench, the dark-count survival curve at size N is the reference detector's curve raised to the size ratio: S_N(t) = S_ref(t)^(N/N_ref) — the channel count cancels and the law carries ZERO adjustable constants (FND-STRAND-020, status DERIVED; verified at three sizes inside registered confidence intervals, medians to factors 1.10-1.30). Consequence: the quench fingerprint of Prediction 23 shrinks with size by this exact power law, and large detectors read Poisson at all times — arithmetic hides the per-channel memory rather than physics removing it. Falsifier: measured size dependence of quench-prepared dark-count statistics that violates the power law beyond its stated small-size domain edge (per-channel barrier relief, FND-STRAND-012).</w:t>
      </w:r>
    </w:p>
    <w:p>
      <w:pPr>
        <w:pStyle w:val="BodyText"/>
      </w:pPr>
      <w:r>
        <w:rPr>
          <w:b/>
        </w:rPr>
        <w:t xml:space="preserve">Prediction 25 — One Scale, Two Instruments (the gap rigidity)</w:t>
      </w:r>
      <w:r>
        <w:t xml:space="preserve"/>
      </w:r>
    </w:p>
    <w:p>
      <w:pPr>
        <w:pStyle w:val="BodyText"/>
      </w:pPr>
      <w:r>
        <w:t xml:space="preserve">The relation. Prediction 10's decoherence floor and Prediction 11's steady-state dark-count attempt rate sit at the SAME spectral location: the weave band gap, the strand mass scale (FND-STRAND-008 for the floor; FND-STRAND-010/013 for the clock, O(1) on two estimators). The framework cannot move one without moving the other. Falsifier: a measured irreducible noise floor and a measured fundamental dark-count prefactor scale that are established to sit at different spectral locations — either instrument alone constrains; together they cross-check. STATUS: the relation is committed now; the shared location in hertz inherits the scale-openness of FND-MATTER-003.</w:t>
      </w:r>
    </w:p>
    <w:p>
      <w:pPr>
        <w:pStyle w:val="BodyText"/>
      </w:pPr>
      <w:r>
        <w:rPr>
          <w:b/>
        </w:rPr>
        <w:t xml:space="preserve">Prediction 26 — No Finite-Speed Bell Cutoff (the medium’s ceiling; consistency-tier, added at v3.12)</w:t>
      </w:r>
    </w:p>
    <w:p>
      <w:pPr>
        <w:pStyle w:val="BodyText"/>
      </w:pPr>
      <w:r>
        <w:t xml:space="preserve">The relation. After the k/T₀ adjudication (FND-027), the mechanical medium’s fastest channel tops out at c_L ≈ √2 c (barring the uncomputed twist addition) — four orders of magnitude below the 1.38×10⁴ c floor that Bell-timing experiments impose on any finite-speed correlation carrier, and Bancal et al. (2012) exclude every finite speed regardless. The framework therefore COMMITS: no wave in its medium carries Bell correlations, and Bell correlations exhibit NO finite-speed cutoff at any mechanically accessible speed. The nonlocal correlations belong to the guidance-flow extension (configuration-space object), not to medium mechanics; the fence between the two is now a committed number.</w:t>
      </w:r>
    </w:p>
    <w:p>
      <w:pPr>
        <w:pStyle w:val="BodyText"/>
      </w:pPr>
      <w:r>
        <w:t xml:space="preserve">Inputs. DERIVED: the ceiling √2 c (from the registered k/T₀ = 2 via c_L/c = √(k/T₀)); the exclusion of finite carriers (Bancal, cited). MEASURED: the Bell-timing floor (Yin 2013). Tier: consistency-tier retrodiction against existing bounds (&gt;10⁴ c already measured), stated because the committed CEILING is new content — no earlier version of this framework could say what its medium’s maximum speed was.</w:t>
      </w:r>
    </w:p>
    <w:p>
      <w:pPr>
        <w:pStyle w:val="BodyText"/>
      </w:pPr>
      <w:r>
        <w:t xml:space="preserve">Test and falsifier. Any future Bell-timing experiment observing a finite-speed cutoff falsifies standard quantum mechanics AND this framework’s structure simultaneously — and a cutoff in the decade around √2 c would be uniquely catastrophic here, resurrecting the mechanical carrier at exactly the speed the elasticity permits and the adjudication forbids. The framework is exposed at a precise location where a generic preferred-frame model is not.</w:t>
      </w:r>
    </w:p>
    <w:p>
      <w:pPr>
        <w:pStyle w:val="BodyText"/>
      </w:pPr>
      <w:r>
        <w:rPr>
          <w:b/>
        </w:rPr>
        <w:t xml:space="preserve">Prediction 27 — Intensity-Squared Dark Vacuum Attenuation (scale-open, added at v3.12)</w:t>
      </w:r>
    </w:p>
    <w:p>
      <w:pPr>
        <w:pStyle w:val="BodyText"/>
      </w:pPr>
      <w:r>
        <w:t xml:space="preserve">The relation. The longitudinal channel’s only coupling to light is the exact cubic vertex (T₀/2) u′ψ′² (coefficient committed by the adjudicated branch; sympy-verified). An intense transverse (electromagnetic) field of strain amplitude g therefore sources longitudinal strain at second order (forced u′ ∼ g²), draining energy into the dark channel at a rate ∼ (T₀/2)² g⁴ — a vacuum attenuation of light growing as INTENSITY SQUARED, with no accompanying scattered light (the channel is dark) and no frequency conversion signature. DERIVED: the I² shape and the darkness. OPEN: the absolute threshold, set by the unpinned vacuum tension density Σ (the same Σ ledger as Prediction 19; QGATE-007).</w:t>
      </w:r>
    </w:p>
    <w:p>
      <w:pPr>
        <w:pStyle w:val="BodyText"/>
      </w:pPr>
      <w:r>
        <w:t xml:space="preserve">Test and falsifier. High-intensity laser propagation in vacuum: any observed vacuum attenuation NOT scaling as I², or attenuation accompanied by scattered/converted light at the same threshold, falsifies the vertex structure. On the consistency side, existing non-observation of attenuation at petawatt intensities pushes Σ upward, joining Prediction 19’s one-parameter ledger — two independent experiments now price the same Σ. Scale-open per the Part IV convention: shape and darkness committed, location open.</w:t>
      </w:r>
    </w:p>
    <w:p>
      <w:pPr>
        <w:pStyle w:val="BodyText"/>
      </w:pPr>
      <w:r>
        <w:rPr>
          <w:b/>
        </w:rPr>
        <w:t xml:space="preserve">A Registered Limit — The Funneling Step (not a prediction)</w:t>
      </w:r>
      <w:r>
        <w:t xml:space="preserve"/>
      </w:r>
    </w:p>
    <w:p>
      <w:pPr>
        <w:pStyle w:val="BodyText"/>
      </w:pPr>
      <w:r>
        <w:t xml:space="preserve">This paper's discipline requires stating where the mechanism ends as loudly as where it succeeds. The three-session exclusivity campaign (FND-STRAND-022..024, v3.8.0) closed “one quantum, one click” at the classical level -- the measured detector response is a sharp threshold cliff, so a split quantum cannot double-click because half a quantum cannot click at all (half-packet: 0/48; one-quantum split: 0/64 in either region) -- and in doing so SURVEYED the classical engine's jurisdiction: real single photons behind a beamsplitter click exactly one arm at ~50% each, and the engine's split packet clicks neither. The reassembly of a split quantum's full energy at ONE absorption site -- the FUNNELING STEP -- is therefore not performed by any classical local dynamics in this framework's registered detector, a boundary established by measurement rather than argument (benchmarks/foundations/strand_split_packet.py). Consequently: (i) Predictions 11, 23, and 24 are commitments about UNSPLIT quanta and about detector statistics, where the classical engine has jurisdiction; (ii) beamsplitter single-arm statistics, which-path experiments, delayed choice, and the quantum eraser lie beyond the surveyed line and are NOT predicted by the present corpus; (iii) the closure has since been ADOPTED as the framework's third grant (FND-STRAND-025, “the quantum arrives whole”): unit energy transfer at absorption, which with the registered Born-from-channel-energy law DERIVES the single-arm statistics, exact anticoincidence, Fock Binomial counting, and the recovered coherent limit -- with falsifiers armed (partial-quantum deposition; heralded coincidences beyond accidentals; non-Binomial Fock counting) and a standing retirement clause should any local dynamics reproduce these consequences from below. The funneling MECHANISM remains the named open problem, and this limit section remains in force for the dynamics: which-path, delayed choice, and the eraser still lie beyond the surveyed line pending the roadmap's later phases. A framework that documents its edge is falsifiable AT the edge: any demonstration that the classical engine's local dynamics can reproduce single-arm beamsplitter statistics would retire this limit and should be registered against FND-STRAND-024.</w:t>
      </w:r>
    </w:p>
    <w:bookmarkEnd w:id="45"/>
    <w:p/>
    <w:p>
      <w:r>
        <w:rPr>
          <w:b/>
        </w:rPr>
        <w:t xml:space="preserve">NEW PREDICTIONS FROM THE ELECTROMAGNETIC ARC (added 2026-08-09; EM-RECON-029)</w:t>
      </w:r>
    </w:p>
    <w:p>
      <w:r>
        <w:t xml:space="preserve">Prediction 28 --- The Sign Lock. The collective carrier requires beta in (0, 1/12], so quadratic photon Lorentz violation, at whatever level it exists, must be SUBLUMINAL: high-energy photons arrive late, never early. One bit, zero parameters. KILL: any confirmed superluminal quadratic LIV signal. Maxwell predicts neither sign; quantum-gravity models allow both; the rope allows exactly one.</w:t>
      </w:r>
    </w:p>
    <w:p>
      <w:r>
        <w:t xml:space="preserve">Prediction 29 --- The Linked Cutoff. One lattice spacing supplies both the dispersion scale E_QG2 and the transparency ceiling E_max, locked in ratio E_QG2/E_max &gt;= sqrt(3) exactly. If quadratic subluminal dispersion is ever measured at scale X, the vacuum must become opaque to photons above X/sqrt(3). No other framework links these observables; a joint measurement is a fingerprint. KILL: a measured dispersion scale together with freely propagating photons above X/sqrt(3). The earlier consistency line here (LHAASO PeV transparency vs the dispersive bound, five orders of headroom) is SUPERSEDED: the registered transparency ceiling sits orders below the observed PeV photons, and the corpus's adjudicated diagnosis, repair, and remaining scale debts are stated in full in the photon-sector section preceding Part VII. The linked-cutoff RELATION E_QG2/E_max &gt;= sqrt(3) stands as structure; Predictions 28 and 29 are both read subject to that section.</w:t>
      </w:r>
    </w:p>
    <w:p>
      <w:r>
        <w:t xml:space="preserve">Prediction 30 --- The Massive Partner. The exact matrix that makes the photon massless predicts its gapped sibling: the relative (optical) branch at E_gap &gt;= ~2e11 GeV. Every accelerator search to date is predicted null; a transverse massive photon-partner below ~1e11 GeV kills the two-branch structure. Maxwell has no partner at any mass.</w:t>
      </w:r>
    </w:p>
    <w:p>
      <w:r>
        <w:t xml:space="preserve">Prediction 31 --- The One-Number Lock and the Density Obligation. kappa_0 = c/sqrt(eps0 SIGMA): one PVLAS-class measurement of SIGMA fixes the Magnus normalization, every electromagnetic magnitude, and the vacuum medium density simultaneously, with zero remaining freedom. The registered floor SIGMA &gt;= 4e24 J/m^3 implies rho &gt;= 4.5e7 kg/m^3 -- and therefore a QUANTIFIED INTERNAL FALSIFIER: the uniform medium must not gravitate (the induced-gravity route is the registered position); any derivation showing the uniform background sourcing curvature kills the framework on cosmology by ~33 orders. The embarrassment is registered with a number on it, which is this corpus's policy for embarrassments.</w:t>
      </w:r>
    </w:p>
    <w:p>
      <w:r>
        <w:t xml:space="preserve">Candidate (gated, not yet a prediction) --- Linear optical response of neutral defects: the q-even contact channel implies a linear-in-amplitude driven oscillation of neutral topological defects at optical frequency, where standard physics allows only quadratic polarizability. The composite-neutral coupling requires its own chartered computation before this is asserted; the named confrontation is neutron interferometry in intense optical fields.</w:t>
      </w:r>
    </w:p>
    <w:p>
      <w:pPr>
        <w:pStyle w:val="BodyText"/>
      </w:pPr>
      <w:r>
        <w:rPr>
          <w:b/>
        </w:rPr>
        <w:t>PREDICTION 20 -- Casimir-scaling violation of the static potential (the vacuum-stiffness tower; v3.17.0 arc, FND-037..047)</w:t>
      </w:r>
    </w:p>
    <w:p>
      <w:pPr>
        <w:pStyle w:val="BodyText"/>
      </w:pPr>
      <w:r>
        <w:t>Status: Modeled, conditional on FND-037 (Conjecture) at the FND-040 floors (kappa_pack &gt;= 50 / 250); the earlier additional conditionality on FND-040's coefficient (the K_c = 0 corner question, FND-063/064) is DISCHARGED by author's ruling (FND-093, 2026-08-12): K_c is a contact-amplitude channel, a property of defect cores, and is absent from the core-free confining-mesh strands this prediction lives on -- endpoint contact at the terminating sources is disclosed as boundary-subleading, and the ruling carries an armed return clause (any core on the flux path, or endpoint contact at bulk order, returns it to adjudication). The forward numbers stand unconditioned for the mesh regime.</w:t>
      </w:r>
    </w:p>
    <w:p>
      <w:pPr>
        <w:pStyle w:val="BodyText"/>
      </w:pPr>
      <w:r>
        <w:t>The relation. The medium’s derived softening (an inextensible constant-tension mesh loses stiffness by pure arc-length geometry; FND-040, Derived from registered premises) predicts long-distance Casimir-scaling violations in the confining regime: delta_D - delta_f = -(eps_f/2)(C_D/C_f - 1), eps_f = 1/kappa_pack. The violation is C2-LINEAR with a suppressed, beyond-mean-field quartic-Casimir component (on a single static source every power of the charge is a Casimir number; d^abcd first arises from path-ordered multi-exchange -- FND-046, explicit-matrix verified). Sign NEGATIVE: higher representations under-bind.</w:t>
      </w:r>
    </w:p>
    <w:p>
      <w:pPr>
        <w:pStyle w:val="BodyText"/>
      </w:pPr>
      <w:r>
        <w:t>Numbers. Adjoint/fundamental (C_A/C_F = 2.25): delta_A - delta_F = -1.25% at kappa_pack = 50; -0.25% at kappa_pack = 250.</w:t>
      </w:r>
    </w:p>
    <w:p>
      <w:pPr>
        <w:pStyle w:val="BodyText"/>
      </w:pPr>
      <w:r>
        <w:t>The pin. Exact inversion: kappa_pack = (C_D/C_f - 1)/(2|delta_D - delta_f|). A percent-level lattice determination of the long-distance adjoint/fundamental ratio measures the vacuum packing directly.</w:t>
      </w:r>
    </w:p>
    <w:p>
      <w:pPr>
        <w:pStyle w:val="BodyText"/>
      </w:pPr>
      <w:r>
        <w:t>Confrontation to date (FND-047). Bali’s continuum-extrapolated eight-representation SU(3) study (PRD 62, 114503, 2000) excludes violations above 5% to 1 fm: kappa_pack &gt;= 12.5, consistent with both readings, tightening neither. The floors themselves are no longer held by Conjecture alone: an in-corpus kill attempt (SHIN, FND-076) confronted the one-medium alternative that would have replaced them and excluded it by 50-137x through this prediction's own derived coefficient -- the floors have survived their first prosecution. Decision table: 1.25% decides the 5% floor; 0.5% implies &gt;= 125; 0.25% reaches the continuum reading and tests the whole tower. Achievable modern lattice work in the 0.5-1 fm window, below adjoint screening.</w:t>
      </w:r>
    </w:p>
    <w:p>
      <w:pPr>
        <w:pStyle w:val="BodyText"/>
      </w:pPr>
      <w:r>
        <w:t>Falsifiers. A quartic-DOMINANT long-distance violation kills; a resolved POSITIVE deviation kills the derived sign; magnitude forcing eps_f &gt; 5% kills the floor.</w:t>
      </w:r>
    </w:p>
    <w:p>
      <w:pPr>
        <w:pStyle w:val="BodyText"/>
      </w:pPr>
      <w:r>
        <w:t>Scope, DECIDED (FND-050, author’s grant, 2026-08-11): N-UNIVERSAL. The softening mechanism is claimed for SU(N) generally, not SU(3) alone — the derivations reference no colour number, and the corpus declines an N-dependence its derivations do not exhibit. The price is owned: SU(N&gt;=4) k-string tensions favour the sine law (Del Debbio et al., PRD 65, 021501), but k-strings are BUNDLES of k unit windings (by screening/N-ality and by this framework’s additive winding charge), so that data measures inter-tube BINDING rather than the single-source softening of this prediction. That owed bundle-binding relation has since been COMPUTED (FND-055, AYIN): b_k = (k-1)/(N-1), the antisymmetric-Casimir fraction exactly, zero fitted coefficients -- and the adjudication has since FIRED (FND-101, Commission NUN, 2026-08-13): the Athenodorou-Teper 2021 continuum determination (JHEP 12 (2021) 082; N = 2..12) rejects the sine law's functional class (zero 1/N coefficient) in favour of a nonzero leading-1/N binding at chi2/ndf 0.5 versus 2.2, superseding the old sine-favouring record -- the derived law's CLASS is confirmed by continuum data -- while convicting its exact coefficient: measured 1.28(19)/N against the derived 2/N, a 3.8 sigma miss, with FND-040's softening disclosed and again adverse. At point level the FND-092 kill clause FIRED (FND-102, Failed and kept): the SU(6) continuum point 1.654(13) is 4.3 sigma above the pre-registered softened band top, 4.15 sigma above exact Casimir, and 6.0 sigma below sine -- the vacuum sits strictly between the laws, and the exchange-counting normalization is falsified at its own checkpoint while the 1/N class stands. What is now owed is the shortfall mechanism, a blind two-number target: b/b_CS = 0.865(33) at SU(6) and 0.64(10) asymptotic. Retreat to SU(3) scope remains refused in advance. Running start unchanged: the qualitative bundle prediction sigma_k &lt; k sigma_1 holds on every dataset under both laws. Calibrations remain SU(3)-anchored.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2026-08-03T17:58:59Z</dcterms:created>
  <dcterms:modified xsi:type="dcterms:W3CDTF">2026-08-03T17:58:59Z</dcterms:modified>
</cp:coreProperties>
</file>

<file path=docProps/custom.xml><?xml version="1.0" encoding="utf-8"?>
<Properties xmlns="http://schemas.openxmlformats.org/officeDocument/2006/custom-properties" xmlns:vt="http://schemas.openxmlformats.org/officeDocument/2006/docPropsVTypes"/>
</file>