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The Field-Tensor Dictionary: From the Mechanical State of a Tensioned Two-Strand Rope to Electromagnetism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r>
        <w:t>July 2026. The rigorous assembly of the corpus’s electromagnetic identifications into a single mapping: mechanical state → potentials → field tensor → forces, with every line either Derived or explicitly flagged, and both force-sign rules obtained from mechanics with nothing put in by hand.</w:t>
      </w:r>
    </w:p>
    <w:p>
      <w:r>
        <w:rPr>
          <w:b/>
        </w:rPr>
        <w:t>1. The mechanical state variables</w:t>
      </w:r>
    </w:p>
    <w:p>
      <w:r>
        <w:t>The two-strand rope under tension T₀ carries one internal gapless degree of freedom: the braid phase Φ, the single Goldstone mode of the internal symmetry (the screw generator; the one-generator theorem, GRV-020). Its derivatives are the physically meaningful densities: the TWIST DENSITY η = ∂Φ/∂s (structural handedness per unit length) and the ROTATION RATE ω = ∂Φ/∂t (the helix turning like a screw). The tension channel couples to twist through the twist-stretch lock, k_tw = k + λγ²τ₀² with γ = 1/sin²θ derived from helix geometry (EM-RECON-012). Coarse-graining the strand orientations over many ropes yields the orientation field, carrying a connection in the fiber-bundle sense (GG-001).</w:t>
      </w:r>
    </w:p>
    <w:p>
      <w:r>
        <w:rPr>
          <w:b/>
        </w:rPr>
        <w:t>2. The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Electromagnetic object</w:t>
            </w:r>
          </w:p>
        </w:tc>
        <w:tc>
          <w:tcPr>
            <w:tcW w:type="dxa" w:w="2160"/>
          </w:tcPr>
          <w:p>
            <w:r>
              <w:t>Mechanical identity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</w:tr>
      <w:tr>
        <w:tc>
          <w:tcPr>
            <w:tcW w:type="dxa" w:w="2160"/>
          </w:tcPr>
          <w:p>
            <w:r>
              <w:t>Charge q</w:t>
            </w:r>
          </w:p>
        </w:tc>
        <w:tc>
          <w:tcPr>
            <w:tcW w:type="dxa" w:w="2160"/>
          </w:tcPr>
          <w:p>
            <w:r>
              <w:t>Winding / linking number of the two strands: an integer; handedness is the sign</w:t>
            </w:r>
          </w:p>
        </w:tc>
        <w:tc>
          <w:tcPr>
            <w:tcW w:type="dxa" w:w="2160"/>
          </w:tcPr>
          <w:p>
            <w:r>
              <w:t>Derived (quantized)</w:t>
            </w:r>
          </w:p>
        </w:tc>
        <w:tc>
          <w:tcPr>
            <w:tcW w:type="dxa" w:w="2160"/>
          </w:tcPr>
          <w:p>
            <w:r>
              <w:t>GG-006, EM-001</w:t>
            </w:r>
          </w:p>
        </w:tc>
      </w:tr>
      <w:tr>
        <w:tc>
          <w:tcPr>
            <w:tcW w:type="dxa" w:w="2160"/>
          </w:tcPr>
          <w:p>
            <w:r>
              <w:t>Current J</w:t>
            </w:r>
          </w:p>
        </w:tc>
        <w:tc>
          <w:tcPr>
            <w:tcW w:type="dxa" w:w="2160"/>
          </w:tcPr>
          <w:p>
            <w:r>
              <w:t>Transported linking: the helix turned like a screw; one turn = one linking unit past each cross-section; div J = 0 is the no-wind-up condition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EM-008, EM-014</w:t>
            </w:r>
          </w:p>
        </w:tc>
      </w:tr>
      <w:tr>
        <w:tc>
          <w:tcPr>
            <w:tcW w:type="dxa" w:w="2160"/>
          </w:tcPr>
          <w:p>
            <w:r>
              <w:t>Vector potential A</w:t>
            </w:r>
          </w:p>
        </w:tc>
        <w:tc>
          <w:tcPr>
            <w:tcW w:type="dxa" w:w="2160"/>
          </w:tcPr>
          <w:p>
            <w:r>
              <w:t>The coarse-grained orientation connection; gauge freedom = phase-convention arbitrariness (physically: rigid braid-phase relabeling, the GRV-020 symmetry)</w:t>
            </w:r>
          </w:p>
        </w:tc>
        <w:tc>
          <w:tcPr>
            <w:tcW w:type="dxa" w:w="2160"/>
          </w:tcPr>
          <w:p>
            <w:r>
              <w:t>Derived (framework)</w:t>
            </w:r>
          </w:p>
        </w:tc>
        <w:tc>
          <w:tcPr>
            <w:tcW w:type="dxa" w:w="2160"/>
          </w:tcPr>
          <w:p>
            <w:r>
              <w:t>GG-001, GG-004</w:t>
            </w:r>
          </w:p>
        </w:tc>
      </w:tr>
      <w:tr>
        <w:tc>
          <w:tcPr>
            <w:tcW w:type="dxa" w:w="2160"/>
          </w:tcPr>
          <w:p>
            <w:r>
              <w:t>Scalar potential φ</w:t>
            </w:r>
          </w:p>
        </w:tc>
        <w:tc>
          <w:tcPr>
            <w:tcW w:type="dxa" w:w="2160"/>
          </w:tcPr>
          <w:p>
            <w:r>
              <w:t>The twist–tension channel: stored twist transmitted to tension by the twist-stretch lock</w:t>
            </w:r>
          </w:p>
        </w:tc>
        <w:tc>
          <w:tcPr>
            <w:tcW w:type="dxa" w:w="2160"/>
          </w:tcPr>
          <w:p>
            <w:r>
              <w:t>Modeled</w:t>
            </w:r>
          </w:p>
        </w:tc>
        <w:tc>
          <w:tcPr>
            <w:tcW w:type="dxa" w:w="2160"/>
          </w:tcPr>
          <w:p>
            <w:r>
              <w:t>EM-RECON-011, -012</w:t>
            </w:r>
          </w:p>
        </w:tc>
      </w:tr>
      <w:tr>
        <w:tc>
          <w:tcPr>
            <w:tcW w:type="dxa" w:w="2160"/>
          </w:tcPr>
          <w:p>
            <w:r>
              <w:t>E_i = F_i0 = −∂_iφ − ∂_tA_i</w:t>
            </w:r>
          </w:p>
        </w:tc>
        <w:tc>
          <w:tcPr>
            <w:tcW w:type="dxa" w:w="2160"/>
          </w:tcPr>
          <w:p>
            <w:r>
              <w:t>Static part: along-rope tension/twist gradient. Induction part: time-varying orientation transport (Faraday, inside dF = 0)</w:t>
            </w:r>
          </w:p>
        </w:tc>
        <w:tc>
          <w:tcPr>
            <w:tcW w:type="dxa" w:w="2160"/>
          </w:tcPr>
          <w:p>
            <w:r>
              <w:t>Assembled here</w:t>
            </w:r>
          </w:p>
        </w:tc>
        <w:tc>
          <w:tcPr>
            <w:tcW w:type="dxa" w:w="2160"/>
          </w:tcPr>
          <w:p>
            <w:r>
              <w:t>EM-RECON-011, EM-003</w:t>
            </w:r>
          </w:p>
        </w:tc>
      </w:tr>
      <w:tr>
        <w:tc>
          <w:tcPr>
            <w:tcW w:type="dxa" w:w="2160"/>
          </w:tcPr>
          <w:p>
            <w:r>
              <w:t>B_i = ½ε_ijk F_jk</w:t>
            </w:r>
          </w:p>
        </w:tc>
        <w:tc>
          <w:tcPr>
            <w:tcW w:type="dxa" w:w="2160"/>
          </w:tcPr>
          <w:p>
            <w:r>
              <w:t>Curl of the orientation field: the surrounding network's circulating response to the rotation rate ω</w:t>
            </w:r>
          </w:p>
        </w:tc>
        <w:tc>
          <w:tcPr>
            <w:tcW w:type="dxa" w:w="2160"/>
          </w:tcPr>
          <w:p>
            <w:r>
              <w:t>Derived / Modeled</w:t>
            </w:r>
          </w:p>
        </w:tc>
        <w:tc>
          <w:tcPr>
            <w:tcW w:type="dxa" w:w="2160"/>
          </w:tcPr>
          <w:p>
            <w:r>
              <w:t>EM-009, EM-010, EM-014</w:t>
            </w:r>
          </w:p>
        </w:tc>
      </w:tr>
      <w:tr>
        <w:tc>
          <w:tcPr>
            <w:tcW w:type="dxa" w:w="2160"/>
          </w:tcPr>
          <w:p>
            <w:r>
              <w:t>Field magnitude</w:t>
            </w:r>
          </w:p>
        </w:tc>
        <w:tc>
          <w:tcPr>
            <w:tcW w:type="dxa" w:w="2160"/>
          </w:tcPr>
          <w:p>
            <w:r>
              <w:t>g = E·√(ε₀/Σ): strain per field, with ONE constant Σ = T₀n_L (vacuum tension density), bounded by ATLAS/PVLAS</w:t>
            </w:r>
          </w:p>
        </w:tc>
        <w:tc>
          <w:tcPr>
            <w:tcW w:type="dxa" w:w="2160"/>
          </w:tcPr>
          <w:p>
            <w:r>
              <w:t>Modeled (calibrated form)</w:t>
            </w:r>
          </w:p>
        </w:tc>
        <w:tc>
          <w:tcPr>
            <w:tcW w:type="dxa" w:w="2160"/>
          </w:tcPr>
          <w:p>
            <w:r>
              <w:t>EM-RECON-014, -016</w:t>
            </w:r>
          </w:p>
        </w:tc>
      </w:tr>
      <w:tr>
        <w:tc>
          <w:tcPr>
            <w:tcW w:type="dxa" w:w="2160"/>
          </w:tcPr>
          <w:p>
            <w:r>
              <w:t>Maxwell equations</w:t>
            </w:r>
          </w:p>
        </w:tc>
        <w:tc>
          <w:tcPr>
            <w:tcW w:type="dxa" w:w="2160"/>
          </w:tcPr>
          <w:p>
            <w:r>
              <w:t>dF = 0 (Bianchi identity) + d∗F = J (Chern–Weil, d = 3)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EM-003</w:t>
            </w:r>
          </w:p>
        </w:tc>
      </w:tr>
      <w:tr>
        <w:tc>
          <w:tcPr>
            <w:tcW w:type="dxa" w:w="2160"/>
          </w:tcPr>
          <w:p>
            <w:r>
              <w:t>Lorentz force q(E + v×B)</w:t>
            </w:r>
          </w:p>
        </w:tc>
        <w:tc>
          <w:tcPr>
            <w:tcW w:type="dxa" w:w="2160"/>
          </w:tcPr>
          <w:p>
            <w:r>
              <w:t>From the coupling q v·a, FORCED by gauge invariance + current conservation; correct coefficient; ⊥ to v and B; does no work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EM-013, EM-010</w:t>
            </w:r>
          </w:p>
        </w:tc>
      </w:tr>
      <w:tr>
        <w:tc>
          <w:tcPr>
            <w:tcW w:type="dxa" w:w="2160"/>
          </w:tcPr>
          <w:p>
            <w:r>
              <w:t>Magnetic force sign</w:t>
            </w:r>
          </w:p>
        </w:tc>
        <w:tc>
          <w:tcPr>
            <w:tcW w:type="dxa" w:w="2160"/>
          </w:tcPr>
          <w:p>
            <w:r>
              <w:t>Gap geometry: same-sense circulations produce opposite swing velocities between wires → mesh → attract; opposite → clash → repel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EM-012</w:t>
            </w:r>
          </w:p>
        </w:tc>
      </w:tr>
      <w:tr>
        <w:tc>
          <w:tcPr>
            <w:tcW w:type="dxa" w:w="2160"/>
          </w:tcPr>
          <w:p>
            <w:r>
              <w:t>Electrostatic force sign</w:t>
            </w:r>
          </w:p>
        </w:tc>
        <w:tc>
          <w:tcPr>
            <w:tcW w:type="dxa" w:w="2160"/>
          </w:tcPr>
          <w:p>
            <w:r>
              <w:t>Constraint-source superposition: like twist fields ADD between knots (repel); opposite CANCEL (attract); +q₁q₂/(4πKd)</w:t>
            </w:r>
          </w:p>
        </w:tc>
        <w:tc>
          <w:tcPr>
            <w:tcW w:type="dxa" w:w="2160"/>
          </w:tcPr>
          <w:p>
            <w:r>
              <w:t>Derived (new)</w:t>
            </w:r>
          </w:p>
        </w:tc>
        <w:tc>
          <w:tcPr>
            <w:tcW w:type="dxa" w:w="2160"/>
          </w:tcPr>
          <w:p>
            <w:r>
              <w:t>EM-015</w:t>
            </w:r>
          </w:p>
        </w:tc>
      </w:tr>
    </w:tbl>
    <w:p>
      <w:r>
        <w:rPr>
          <w:b/>
        </w:rPr>
        <w:t>3. The electrostatic sign theorem (the new result)</w:t>
      </w:r>
    </w:p>
    <w:p>
      <w:r>
        <w:t>The trap, named first: a quadratic field between sources does NOT automatically repel like charges. With COUPLING sources (an energy term −ρΦ, the structure of scalar exchange), the minimized interaction is −q₁q₂/(4πKd): like charges attract — which is why scalar-mediated forces attract and why naive arguments get Coulomb backwards. The rope winding is not a coupling source. Winding number is TOPOLOGY: a boundary condition on the braid-phase configuration space, with nothing to couple and nothing to switch off. For such CONSTRAINT sources the energy is purely (K/2)|∇Φ|² on the constrained minimizer, and superposition gives U = +q₁q₂/(4πKd): like windings repel, opposite attract, with the 1/d potential and 1/d² force of Coulomb's law. The laboratory precedent is exact: superfluid vortices are constraint-sourced quadratic fields, and like-sign vortices repel while vortex–antivortex pairs attract. Electron and positron are opposite handedness (GG-006): opposite winding, hence attraction. The benchmark verifies both the analytic dichotomy (the two source types provably carry opposite signs, so the trap is permanently fenced) and the mechanism on a lattice of actual winding defects: the like pair's energy falls with separation (repulsion), the opposite pair's rises (attraction). In plain terms: like-handed twist fields add in the region between the knots, storing more energy when they are close, so they are pushed apart; opposite-handed fields cancel between the knots, so they are pulled together. With the magnetic half (the gap-geometry rule of EM-012), the sign ledger of electromagnetism is now closed entirely by geometry.</w:t>
      </w:r>
    </w:p>
    <w:p>
      <w:r>
        <w:rPr>
          <w:b/>
        </w:rPr>
        <w:t>4. The status ledger: why Modeled and not Derived</w:t>
      </w:r>
    </w:p>
    <w:p>
      <w:r>
        <w:t>The dictionary is assembled with its remaining debts explicit. (i) Σ's absolute value is an input: measured and bounded by experiment (ATLAS; PVLAS), identified in form as T₀n_L, not derived from within. (ii) The dynamical drive's inertial term (EM-010) is assumed, not derived. (iii) The scalar potential's channel identification (EM-RECON-011) is Modeled. (iv) The identification's UNIQUENESS — that no other assignment of mechanical variables reproduces the same phenomenology — is not established. On this assembly the corpus's central identification claim, GG-005 (‘F IS the electromagnetic field; topology IS charge’), is upgraded from Conjecture to Modeled: supported by structure, quantization, forces with both signs, calibration, and dynamics; withheld from Derived by exactly the four debts above.</w:t>
      </w:r>
    </w:p>
    <w:p>
      <w:r>
        <w:rPr>
          <w:b/>
        </w:rPr>
        <w:t>5. What would strengthen each line</w:t>
      </w:r>
    </w:p>
    <w:p>
      <w:r>
        <w:t>Deriving Σ from the mesh scale and tension (blocked at present by the same irreducibility results that block a and ħ); deriving EM-010's inertial term from strand dynamics; promoting the φ-channel identification by an independent prediction in the static sector; and a uniqueness argument — or a counterexample assignment, which would be equally valuable and would go into the registry the same way everything else has.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EM-015 [Derived]: </w:t>
      </w:r>
      <w:r>
        <w:t>ELECTROSTATIC SIGN THEOREM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p>
      <w:r>
        <w:rPr>
          <w:b/>
        </w:rPr>
        <w:t xml:space="preserve">• EM-016 [Modeled]: </w:t>
      </w:r>
      <w:r>
        <w:t>THE FIELD-TENSOR DICTIONARY  [benchmark: benchmarks/em/electrostatic_sign_derivation.py]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