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Nineteen Predictions, One Discriminator, and a Reproducibility Standard</w:t>
      </w:r>
    </w:p>
    <w:p>
      <w:pPr>
        <w:pStyle w:val="BodyText"/>
      </w:pPr>
      <w:r>
        <w:t xml:space="preserve">Mark Palmer · June 2026, rebuilt July 2026 (v2.2.5)</w:t>
      </w:r>
    </w:p>
    <w:p>
      <w:pPr>
        <w:pStyle w:val="BodyText"/>
      </w:pPr>
      <w:r>
        <w:t xml:space="preserve">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Exactly ONE qualifies on all three.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ONE way to be distinguished from standard physics, and several ways to be killed. The corpus also carries twenty-three registered Failed-and-kept claims,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Charlotte, NC ·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 xml:space="preserve">The relation. Consistency of additivity, Lorentz invariance and the corpus's coherence count forces the vacuum stiffness Sigma &gt;= 5.1e35 J/m^3.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xml:space="preserve">• QGATE-007 [Modeled]: THE VACUUM STIFFNESS BOUND Sigma &gt;= 5.1e35 J/m^3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 xml:space="preserve">The lattice-scale survey (GRV-076) found ZERO live pins of the spacing a: the corpus’s two candidate scales (Lorentz-bound 1e-16 m; Sakharov selection 1.26e-34 m — eight Planck lengths, selected by a 96-site zero-point coefficient, GRV-075)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