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0"/>
          <w:szCs w:val="20"/>
        </w:rPr>
        <w:t xml:space="preserve"/>
      </w:r>
    </w:p>
    <w:p>
      <w:pPr>
        <w:spacing w:after="60" w:before="300" w:line="276"/>
        <w:jc w:val="center"/>
      </w:pPr>
      <w:r>
        <w:rPr>
          <w:rFonts w:ascii="Times New Roman" w:cs="Times New Roman" w:eastAsia="Times New Roman" w:hAnsi="Times New Roman"/>
          <w:b/>
          <w:bCs/>
          <w:i w:val="false"/>
          <w:iCs w:val="false"/>
          <w:color w:val="1F3864"/>
          <w:sz w:val="30"/>
          <w:szCs w:val="30"/>
        </w:rPr>
        <w:t xml:space="preserve">Falsifiable Predictions of the Rope Hypothesis</w:t>
      </w:r>
    </w:p>
    <w:p>
      <w:pPr>
        <w:spacing w:after="80" w:before="0" w:line="276"/>
        <w:jc w:val="center"/>
      </w:pPr>
      <w:r>
        <w:rPr>
          <w:rFonts w:ascii="Times New Roman" w:cs="Times New Roman" w:eastAsia="Times New Roman" w:hAnsi="Times New Roman"/>
          <w:b/>
          <w:bCs/>
          <w:i w:val="false"/>
          <w:iCs w:val="false"/>
          <w:color w:val="2E4057"/>
          <w:sz w:val="20"/>
          <w:szCs w:val="20"/>
        </w:rPr>
        <w:t xml:space="preserve">Four Testable Numbers and a Reproducibility Standard</w:t>
      </w:r>
    </w:p>
    <w:p>
      <w:pPr>
        <w:spacing w:after="60" w:before="0" w:line="276"/>
        <w:jc w:val="center"/>
      </w:pPr>
      <w:r>
        <w:rPr>
          <w:rFonts w:ascii="Times New Roman" w:cs="Times New Roman" w:eastAsia="Times New Roman" w:hAnsi="Times New Roman"/>
          <w:b w:val="false"/>
          <w:bCs w:val="false"/>
          <w:i/>
          <w:iCs/>
          <w:color w:val="666666"/>
          <w:sz w:val="19"/>
          <w:szCs w:val="19"/>
        </w:rPr>
        <w:t xml:space="preserve">Mark Palmer  ·  June 2026</w:t>
      </w:r>
    </w:p>
    <w:p>
      <w:pPr>
        <w:spacing w:after="200" w:before="0" w:line="276"/>
        <w:jc w:val="center"/>
      </w:pPr>
      <w:r>
        <w:rPr>
          <w:rFonts w:ascii="Times New Roman" w:cs="Times New Roman" w:eastAsia="Times New Roman" w:hAnsi="Times New Roman"/>
          <w:b w:val="false"/>
          <w:bCs w:val="false"/>
          <w:i w:val="false"/>
          <w:iCs w:val="false"/>
          <w:color w:val="666666"/>
          <w:sz w:val="16"/>
          <w:szCs w:val="16"/>
        </w:rPr>
        <w:t xml:space="preserve">Global Networking Practice, NTT DATA, Charlotte, NC  ·  palmer100@gmail.com</w:t>
      </w:r>
    </w:p>
    <w:p>
      <w:pPr>
        <w:pBdr>
          <w:bottom w:val="single" w:color="1F3864" w:sz="8" w:space="1"/>
        </w:pBdr>
        <w:spacing w:after="0" w:before="0"/>
      </w:pPr>
      <w:r>
        <w:rPr>
          <w:sz w:val="20"/>
          <w:szCs w:val="20"/>
        </w:rPr>
        <w:t xml:space="preserve"/>
      </w:r>
    </w:p>
    <w:p>
      <w:pPr>
        <w:spacing w:after="80"/>
      </w:pPr>
      <w:r>
        <w:rPr>
          <w:sz w:val="20"/>
          <w:szCs w:val="20"/>
        </w:rPr>
        <w:t xml:space="preserve"/>
      </w:r>
    </w:p>
    <w:p>
      <w:pPr>
        <w:spacing w:after="70" w:before="0" w:line="276"/>
        <w:jc w:val="left"/>
      </w:pPr>
      <w:r>
        <w:rPr>
          <w:rFonts w:ascii="Times New Roman" w:cs="Times New Roman" w:eastAsia="Times New Roman" w:hAnsi="Times New Roman"/>
          <w:b/>
          <w:bCs/>
          <w:i w:val="false"/>
          <w:iCs w:val="false"/>
          <w:color w:val="000000"/>
          <w:sz w:val="20"/>
          <w:szCs w:val="20"/>
        </w:rPr>
        <w:t xml:space="preserve">ABSTRACT</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This note collects the falsifiable predictions of the rope hypothesis in one place, for outside review. The hypothesis is a non-standard, self-published research programme that attempts to give physics a single physical object — a two-strand rope under tension — from which the standard phenomena follow. Its speculative status is stated plainly throughout; the purpose here is not to argue the framework but to expose its empirical commitments to falsification. Four predictions are testable by experiments already underway or planned this decade: (1) the MOND acceleration scale g† = cH₀/2π; (2) the sum of neutrino masses Σmν = 58.5 meV; (3) a cosmic-birefringence cross-correlation EB/EE = 0.0119, flat in multipole; and (4) a specific MOND interpolation-function shape differing ~8% from standard forms near the transition. Each is stated with its number, its test, the experiment that will deliver the verdict, and the conditions that would falsify it — and, critically, with an explicit ledger of which inputs are derived from the framework versus taken from measurement. Every number is reproducible from an open, tested software package (rope_solver), so a reviewer can recompute each prediction rather than trust it.</w:t>
      </w:r>
    </w:p>
    <w:p>
      <w:pPr>
        <w:spacing w:after="200" w:before="0" w:line="276"/>
        <w:jc w:val="both"/>
      </w:pPr>
      <w:r>
        <w:rPr>
          <w:rFonts w:ascii="Times New Roman" w:cs="Times New Roman" w:eastAsia="Times New Roman" w:hAnsi="Times New Roman"/>
          <w:b w:val="false"/>
          <w:bCs w:val="false"/>
          <w:i/>
          <w:iCs/>
          <w:color w:val="666666"/>
          <w:sz w:val="18"/>
          <w:szCs w:val="18"/>
        </w:rPr>
        <w:t xml:space="preserve">This supersedes the earlier note “Two Falsifiable Predictions” (June 2026), adding two predictions, a structural fifth, and the reproducibility standard.</w:t>
      </w:r>
    </w:p>
    <w:p>
      <w:pPr>
        <w:pBdr>
          <w:bottom w:val="single" w:color="1F3864" w:sz="8" w:space="1"/>
        </w:pBdr>
        <w:spacing w:after="0" w:before="0"/>
      </w:pPr>
      <w:r>
        <w:rPr>
          <w:sz w:val="20"/>
          <w:szCs w:val="20"/>
        </w:rPr>
        <w:t xml:space="preserve"/>
      </w:r>
    </w:p>
    <w:p>
      <w:pPr>
        <w:spacing w:after="80"/>
      </w:pPr>
      <w:r>
        <w:rPr>
          <w:sz w:val="20"/>
          <w:szCs w:val="20"/>
        </w:rPr>
        <w:t xml:space="preserve"/>
      </w:r>
    </w:p>
    <w:p>
      <w:pPr>
        <w:pStyle w:val="Heading1"/>
        <w:spacing w:after="140" w:before="320"/>
      </w:pPr>
      <w:r>
        <w:rPr>
          <w:rFonts w:ascii="Times New Roman" w:cs="Times New Roman" w:eastAsia="Times New Roman" w:hAnsi="Times New Roman"/>
          <w:b/>
          <w:bCs/>
          <w:color w:val="1F3864"/>
          <w:sz w:val="26"/>
          <w:szCs w:val="26"/>
        </w:rPr>
        <w:t xml:space="preserve">1.  How to Read This Note</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A prediction is only as good as its honesty about what stands behind it. For each prediction below we separate three things a reviewer should never have to untangle on their own:</w:t>
      </w:r>
    </w:p>
    <w:p>
      <w:pPr>
        <w:spacing w:after="80"/>
      </w:pPr>
      <w:r>
        <w:rPr>
          <w:sz w:val="20"/>
          <w:szCs w:val="20"/>
        </w:rPr>
        <w:t xml:space="preserve"/>
      </w:r>
    </w:p>
    <w:p>
      <w:pPr>
        <w:pStyle w:val="ListParagraph"/>
        <w:numPr>
          <w:ilvl w:val="0"/>
          <w:numId w:val="2"/>
        </w:numPr>
        <w:spacing w:after="70"/>
        <w:jc w:val="both"/>
      </w:pPr>
      <w:r>
        <w:rPr>
          <w:rFonts w:ascii="Times New Roman" w:cs="Times New Roman" w:eastAsia="Times New Roman" w:hAnsi="Times New Roman"/>
          <w:sz w:val="22"/>
          <w:szCs w:val="22"/>
        </w:rPr>
        <w:t xml:space="preserve">The number — the specific quantity the framework commits to, with no remaining freedom to adjust.</w:t>
      </w:r>
    </w:p>
    <w:p>
      <w:pPr>
        <w:pStyle w:val="ListParagraph"/>
        <w:numPr>
          <w:ilvl w:val="0"/>
          <w:numId w:val="2"/>
        </w:numPr>
        <w:spacing w:after="70"/>
        <w:jc w:val="both"/>
      </w:pPr>
      <w:r>
        <w:rPr>
          <w:rFonts w:ascii="Times New Roman" w:cs="Times New Roman" w:eastAsia="Times New Roman" w:hAnsi="Times New Roman"/>
          <w:sz w:val="22"/>
          <w:szCs w:val="22"/>
        </w:rPr>
        <w:t xml:space="preserve">The inputs — stated explicitly as DERIVED (forced by the rope structure) or MEASURED (taken from experiment as a fixed input). A prediction that leans on a measured input is still falsifiable, but it is not parameter-free, and we say so.</w:t>
      </w:r>
    </w:p>
    <w:p>
      <w:pPr>
        <w:pStyle w:val="ListParagraph"/>
        <w:numPr>
          <w:ilvl w:val="0"/>
          <w:numId w:val="2"/>
        </w:numPr>
        <w:spacing w:after="70"/>
        <w:jc w:val="both"/>
      </w:pPr>
      <w:r>
        <w:rPr>
          <w:rFonts w:ascii="Times New Roman" w:cs="Times New Roman" w:eastAsia="Times New Roman" w:hAnsi="Times New Roman"/>
          <w:sz w:val="22"/>
          <w:szCs w:val="22"/>
        </w:rPr>
        <w:t xml:space="preserve">The test and the falsifier — the experiment that will decide, and the result that would kill the prediction.</w:t>
      </w:r>
    </w:p>
    <w:p>
      <w:pPr>
        <w:spacing w:after="80"/>
      </w:pPr>
      <w:r>
        <w:rPr>
          <w:sz w:val="20"/>
          <w:szCs w:val="20"/>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None of these predictions depends on accepting the rope ontology. Each follows from a stated mathematical relation; a reader may accept, test, or reject any one independently of the others and of the framework that motivated it.</w:t>
      </w:r>
    </w:p>
    <w:p>
      <w:pPr>
        <w:spacing w:after="8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shd w:fill="1F5C5C"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6"/>
                <w:szCs w:val="16"/>
              </w:rPr>
              <w:t xml:space="preserve">REPRODUCIBILITY</w:t>
            </w:r>
          </w:p>
        </w:tc>
        <w:tc>
          <w:tcPr>
            <w:tcMar>
              <w:top w:type="dxa" w:w="80"/>
              <w:left w:type="dxa" w:w="120"/>
              <w:bottom w:type="dxa" w:w="80"/>
              <w:right w:type="dxa" w:w="120"/>
            </w:tcMar>
          </w:tcPr>
          <w:p>
            <w:pPr>
              <w:spacing w:after="40"/>
              <w:jc w:val="both"/>
            </w:pPr>
            <w:r>
              <w:rPr>
                <w:rFonts w:ascii="Times New Roman" w:cs="Times New Roman" w:eastAsia="Times New Roman" w:hAnsi="Times New Roman"/>
                <w:sz w:val="20"/>
                <w:szCs w:val="20"/>
              </w:rPr>
              <w:t xml:space="preserve">Every number in this note is computed by an installed function in the open rope_solver package, with a regression test pinning it. A reviewer can run three commands (validation 10/10, physics+EM 59/59, reproduction 6/6) and recompute each prediction from source. The framework also publishes, in the same package, an explicit registry of what it has NOT derived and what it has ruled out — including a failed mechanism for particle masses. Predictions and limitations are held to one standard. Each prediction maps to a frozen benchmark ID (e.g. EM-005 for the birefringence number), so a reviewer can cite and re-run any single result.</w:t>
            </w:r>
          </w:p>
        </w:tc>
      </w:tr>
    </w:tbl>
    <w:p>
      <w:r>
        <w:br w:type="page"/>
      </w:r>
    </w:p>
    <w:p>
      <w:pPr>
        <w:pStyle w:val="Heading1"/>
        <w:spacing w:after="140" w:before="320"/>
      </w:pPr>
      <w:r>
        <w:rPr>
          <w:rFonts w:ascii="Times New Roman" w:cs="Times New Roman" w:eastAsia="Times New Roman" w:hAnsi="Times New Roman"/>
          <w:b/>
          <w:bCs/>
          <w:color w:val="1F3864"/>
          <w:sz w:val="26"/>
          <w:szCs w:val="26"/>
        </w:rPr>
        <w:t xml:space="preserve">2.  The Predictions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80"/>
        <w:gridCol w:w="1640"/>
        <w:gridCol w:w="2480"/>
        <w:gridCol w:w="2000"/>
      </w:tblGrid>
      <w:tr>
        <w:tc>
          <w:tcPr>
            <w:tcW w:type="dxa" w:w="5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w:t>
            </w:r>
          </w:p>
        </w:tc>
        <w:tc>
          <w:tcPr>
            <w:tcW w:type="dxa" w:w="2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Prediction</w:t>
            </w:r>
          </w:p>
        </w:tc>
        <w:tc>
          <w:tcPr>
            <w:tcW w:type="dxa" w:w="164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Number</w:t>
            </w:r>
          </w:p>
        </w:tc>
        <w:tc>
          <w:tcPr>
            <w:tcW w:type="dxa" w:w="24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Test (experiment)</w:t>
            </w:r>
          </w:p>
        </w:tc>
        <w:tc>
          <w:tcPr>
            <w:tcW w:type="dxa" w:w="20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Verdict by</w:t>
            </w:r>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1</w:t>
            </w:r>
          </w:p>
        </w:tc>
        <w:tc>
          <w:tcPr>
            <w:tcW w:type="dxa" w:w="2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MOND scale g† = cH₀/2π</w:t>
            </w:r>
          </w:p>
        </w:tc>
        <w:tc>
          <w:tcPr>
            <w:tcW w:type="dxa" w:w="164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1.04×10⁻¹⁰ m/s²</w:t>
            </w:r>
          </w:p>
        </w:tc>
        <w:tc>
          <w:tcPr>
            <w:tcW w:type="dxa" w:w="24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H₀ convergence; z-drift of g†</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DESI/Euclid, ongoing</w:t>
            </w:r>
          </w:p>
        </w:tc>
      </w:tr>
      <w:tr>
        <w:tc>
          <w:tcPr>
            <w:tcW w:type="dxa" w:w="56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2</w:t>
            </w:r>
          </w:p>
        </w:tc>
        <w:tc>
          <w:tcPr>
            <w:tcW w:type="dxa" w:w="268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Neutrino mass sum Σmν</w:t>
            </w:r>
          </w:p>
        </w:tc>
        <w:tc>
          <w:tcPr>
            <w:tcW w:type="dxa" w:w="164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58.5 meV</w:t>
            </w:r>
          </w:p>
        </w:tc>
        <w:tc>
          <w:tcPr>
            <w:tcW w:type="dxa" w:w="248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CMB + BAO + galaxy surveys</w:t>
            </w:r>
          </w:p>
        </w:tc>
        <w:tc>
          <w:tcPr>
            <w:tcW w:type="dxa" w:w="200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CMB-S4/Euclid, ~2027+</w:t>
            </w:r>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3</w:t>
            </w:r>
          </w:p>
        </w:tc>
        <w:tc>
          <w:tcPr>
            <w:tcW w:type="dxa" w:w="2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Cosmic birefringence EB/EE (EM-005)</w:t>
            </w:r>
          </w:p>
        </w:tc>
        <w:tc>
          <w:tcPr>
            <w:tcW w:type="dxa" w:w="164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0.0119 (flat in ℓ)</w:t>
            </w:r>
          </w:p>
        </w:tc>
        <w:tc>
          <w:tcPr>
            <w:tcW w:type="dxa" w:w="24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CMB EB cross-power</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LiteBIRD, ~2030s</w:t>
            </w:r>
          </w:p>
        </w:tc>
      </w:tr>
      <w:tr>
        <w:tc>
          <w:tcPr>
            <w:tcW w:type="dxa" w:w="56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4</w:t>
            </w:r>
          </w:p>
        </w:tc>
        <w:tc>
          <w:tcPr>
            <w:tcW w:type="dxa" w:w="268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MOND interpolation shape</w:t>
            </w:r>
          </w:p>
        </w:tc>
        <w:tc>
          <w:tcPr>
            <w:tcW w:type="dxa" w:w="164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~8% vs standard</w:t>
            </w:r>
          </w:p>
        </w:tc>
        <w:tc>
          <w:tcPr>
            <w:tcW w:type="dxa" w:w="248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Galaxy rotation curves</w:t>
            </w:r>
          </w:p>
        </w:tc>
        <w:tc>
          <w:tcPr>
            <w:tcW w:type="dxa" w:w="200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SPARC, available now</w:t>
            </w:r>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5*</w:t>
            </w:r>
          </w:p>
        </w:tc>
        <w:tc>
          <w:tcPr>
            <w:tcW w:type="dxa" w:w="2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W/Z share lepton Koide phase</w:t>
            </w:r>
          </w:p>
        </w:tc>
        <w:tc>
          <w:tcPr>
            <w:tcW w:type="dxa" w:w="164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structural</w:t>
            </w:r>
          </w:p>
        </w:tc>
        <w:tc>
          <w:tcPr>
            <w:tcW w:type="dxa" w:w="24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(not currently testable)</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w:t>
            </w:r>
          </w:p>
        </w:tc>
      </w:tr>
    </w:tbl>
    <w:p>
      <w:pPr>
        <w:spacing w:after="80"/>
      </w:pPr>
      <w:r>
        <w:rPr>
          <w:sz w:val="20"/>
          <w:szCs w:val="20"/>
        </w:rPr>
        <w:t xml:space="preserve"/>
      </w:r>
    </w:p>
    <w:p>
      <w:pPr>
        <w:spacing w:after="150" w:before="0" w:line="276"/>
        <w:jc w:val="both"/>
      </w:pPr>
      <w:r>
        <w:rPr>
          <w:rFonts w:ascii="Times New Roman" w:cs="Times New Roman" w:eastAsia="Times New Roman" w:hAnsi="Times New Roman"/>
          <w:b w:val="false"/>
          <w:bCs w:val="false"/>
          <w:i/>
          <w:iCs/>
          <w:color w:val="666666"/>
          <w:sz w:val="18"/>
          <w:szCs w:val="18"/>
        </w:rPr>
        <w:t xml:space="preserve">* Predictions 5 and 6 are structural consequences, stated for completeness; they are not counted among the four empirical predictions. Prediction 5 is not currently testable; Prediction 6 (correlated α–G variation) is testable in principle against varying-constants data, but its specific coefficient is provisional on deriving the gravity-sector relation G(T,κ,a).</w:t>
      </w:r>
    </w:p>
    <w:p>
      <w:r>
        <w:br w:type="page"/>
      </w:r>
    </w:p>
    <w:p>
      <w:pPr>
        <w:pStyle w:val="Heading1"/>
        <w:spacing w:after="140" w:before="320"/>
      </w:pPr>
      <w:r>
        <w:rPr>
          <w:rFonts w:ascii="Times New Roman" w:cs="Times New Roman" w:eastAsia="Times New Roman" w:hAnsi="Times New Roman"/>
          <w:b/>
          <w:bCs/>
          <w:color w:val="1F3864"/>
          <w:sz w:val="26"/>
          <w:szCs w:val="26"/>
        </w:rPr>
        <w:t xml:space="preserve">3.  Prediction 1 — The MOND Acceleration Scale</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The MOND characteristic acceleration g† ≈ 1.2×10⁻¹⁰ m/s² is an empirical parameter in Modified Newtonian Dynamics and in the Radial Acceleration Relation observed in disk galaxies. The rope framework proposes it is not free but fixed by the Hubble rate:</w:t>
      </w:r>
    </w:p>
    <w:p>
      <w:pPr>
        <w:spacing w:after="120" w:before="60" w:line="276"/>
        <w:jc w:val="center"/>
      </w:pPr>
      <w:r>
        <w:rPr>
          <w:rFonts w:ascii="Cambria Math" w:cs="Cambria Math" w:eastAsia="Cambria Math" w:hAnsi="Cambria Math"/>
          <w:i/>
          <w:iCs/>
          <w:sz w:val="22"/>
          <w:szCs w:val="22"/>
        </w:rPr>
        <w:t xml:space="preserve">g†  =  c H₀ / 2π  =  c² / (2π R_H)</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connecting the galactic acceleration scale directly to cosmology using only c, H₀, and a geometric factor 2π. No galaxy-specific fitting enters.</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Inputs (derived vs measured)</w:t>
      </w:r>
    </w:p>
    <w:p>
      <w:pPr>
        <w:pStyle w:val="ListParagraph"/>
        <w:numPr>
          <w:ilvl w:val="0"/>
          <w:numId w:val="2"/>
        </w:numPr>
        <w:spacing w:after="70"/>
        <w:jc w:val="both"/>
      </w:pPr>
      <w:r>
        <w:rPr>
          <w:rFonts w:ascii="Times New Roman" w:cs="Times New Roman" w:eastAsia="Times New Roman" w:hAnsi="Times New Roman"/>
          <w:sz w:val="22"/>
          <w:szCs w:val="22"/>
        </w:rPr>
        <w:t xml:space="preserve">MEASURED: H₀ (the Hubble constant). The prediction inherits the Hubble tension — an irreducible ~9% spread (H₀ = 67–73 km/s/Mpc) until H₀ is pinned.</w:t>
      </w:r>
    </w:p>
    <w:p>
      <w:pPr>
        <w:pStyle w:val="ListParagraph"/>
        <w:numPr>
          <w:ilvl w:val="0"/>
          <w:numId w:val="2"/>
        </w:numPr>
        <w:spacing w:after="70"/>
        <w:jc w:val="both"/>
      </w:pPr>
      <w:r>
        <w:rPr>
          <w:rFonts w:ascii="Times New Roman" w:cs="Times New Roman" w:eastAsia="Times New Roman" w:hAnsi="Times New Roman"/>
          <w:sz w:val="22"/>
          <w:szCs w:val="22"/>
        </w:rPr>
        <w:t xml:space="preserve">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The prediction is also falsified if H₀ converges far from the value that makes the relation hold, with no z-drift compensating.</w:t>
      </w:r>
    </w:p>
    <w:p>
      <w:r>
        <w:br w:type="page"/>
      </w:r>
    </w:p>
    <w:p>
      <w:pPr>
        <w:pStyle w:val="Heading1"/>
        <w:spacing w:after="140" w:before="320"/>
      </w:pPr>
      <w:r>
        <w:rPr>
          <w:rFonts w:ascii="Times New Roman" w:cs="Times New Roman" w:eastAsia="Times New Roman" w:hAnsi="Times New Roman"/>
          <w:b/>
          <w:bCs/>
          <w:color w:val="1F3864"/>
          <w:sz w:val="26"/>
          <w:szCs w:val="26"/>
        </w:rPr>
        <w:t xml:space="preserve">4.  Prediction 2 — The Sum of Neutrino Masses</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spacing w:after="120" w:before="60" w:line="276"/>
        <w:jc w:val="center"/>
      </w:pPr>
      <w:r>
        <w:rPr>
          <w:rFonts w:ascii="Cambria Math" w:cs="Cambria Math" w:eastAsia="Cambria Math" w:hAnsi="Cambria Math"/>
          <w:i/>
          <w:iCs/>
          <w:sz w:val="22"/>
          <w:szCs w:val="22"/>
        </w:rPr>
        <w:t xml:space="preserve">Σmν  =  58.5 meV</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Inputs (derived vs measured)</w:t>
      </w:r>
    </w:p>
    <w:p>
      <w:pPr>
        <w:pStyle w:val="ListParagraph"/>
        <w:numPr>
          <w:ilvl w:val="0"/>
          <w:numId w:val="2"/>
        </w:numPr>
        <w:spacing w:after="70"/>
        <w:jc w:val="both"/>
      </w:pPr>
      <w:r>
        <w:rPr>
          <w:rFonts w:ascii="Times New Roman" w:cs="Times New Roman" w:eastAsia="Times New Roman" w:hAnsi="Times New Roman"/>
          <w:sz w:val="22"/>
          <w:szCs w:val="22"/>
        </w:rPr>
        <w:t xml:space="preserve">MEASURED: the solar mass splitting Δm²₂₁ (the one scale), and the ratio Δm²₃₁/Δm²₂₁ = 32.6 used to fix the offset.</w:t>
      </w:r>
    </w:p>
    <w:p>
      <w:pPr>
        <w:pStyle w:val="ListParagraph"/>
        <w:numPr>
          <w:ilvl w:val="0"/>
          <w:numId w:val="2"/>
        </w:numPr>
        <w:spacing w:after="70"/>
        <w:jc w:val="both"/>
      </w:pPr>
      <w:r>
        <w:rPr>
          <w:rFonts w:ascii="Times New Roman" w:cs="Times New Roman" w:eastAsia="Times New Roman" w:hAnsi="Times New Roman"/>
          <w:sz w:val="22"/>
          <w:szCs w:val="22"/>
        </w:rPr>
        <w:t xml:space="preserve">INPUT, NOT DERIVED: the π/12 offset itself. HONEST CAVEAT: π/12 is an empirical choice, not derived from the rope structure. A skeptic who treats the offset as fitted will regard Σmν as a consistency check rather than a pure prediction. We state it as the former.</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Σmν = 58.5 meV is the one number here not yet measured, with nothing left to adjust. It sits just above the normal-ordering minimum (~59 meV), making it sharp and risky: it is distinguishable both from the quasi-degenerate spectrum (Σ ~ 100–200 meV) and, with care, from the bare splitting minimum. The prediction is falsified by a confirmed Σmν below ~50 meV or above ~70 meV, or by confirmation of inverted ordering. Cosmological bounds are already pressing toward this range.</w:t>
      </w:r>
    </w:p>
    <w:p>
      <w:r>
        <w:br w:type="page"/>
      </w:r>
    </w:p>
    <w:p>
      <w:pPr>
        <w:pStyle w:val="Heading1"/>
        <w:spacing w:after="140" w:before="320"/>
      </w:pPr>
      <w:r>
        <w:rPr>
          <w:rFonts w:ascii="Times New Roman" w:cs="Times New Roman" w:eastAsia="Times New Roman" w:hAnsi="Times New Roman"/>
          <w:b/>
          <w:bCs/>
          <w:color w:val="1F3864"/>
          <w:sz w:val="26"/>
          <w:szCs w:val="26"/>
        </w:rPr>
        <w:t xml:space="preserve">5.  Prediction 3 — Cosmic Birefringence (EB/EE)</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w:t>
      </w:r>
    </w:p>
    <w:p>
      <w:pPr>
        <w:spacing w:after="120" w:before="60" w:line="276"/>
        <w:jc w:val="center"/>
      </w:pPr>
      <w:r>
        <w:rPr>
          <w:rFonts w:ascii="Cambria Math" w:cs="Cambria Math" w:eastAsia="Cambria Math" w:hAnsi="Cambria Math"/>
          <w:i/>
          <w:iCs/>
          <w:sz w:val="22"/>
          <w:szCs w:val="22"/>
        </w:rPr>
        <w:t xml:space="preserve">β  =  χ c D / 2 ,    χ = sin(2θ_W) n_rope r_H² / c</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Eskilt &amp; Komatsu (2022) report β = 0.342° ± 0.094° from Planck. Matching that fixes the rope chirality product to sin(2θ_W) n_rope r_H² = 9.18×10⁻²⁹ m⁻¹. The framework then predicts the CMB EB cross-correlation:</w:t>
      </w:r>
    </w:p>
    <w:p>
      <w:pPr>
        <w:spacing w:after="120" w:before="60" w:line="276"/>
        <w:jc w:val="center"/>
      </w:pPr>
      <w:r>
        <w:rPr>
          <w:rFonts w:ascii="Cambria Math" w:cs="Cambria Math" w:eastAsia="Cambria Math" w:hAnsi="Cambria Math"/>
          <w:i/>
          <w:iCs/>
          <w:sz w:val="22"/>
          <w:szCs w:val="22"/>
        </w:rPr>
        <w:t xml:space="preserve">EB/EE  =  sin(4β)/2  =  0.0119 ,   flat in multipole ℓ</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Inputs (derived vs measured)</w:t>
      </w:r>
    </w:p>
    <w:p>
      <w:pPr>
        <w:pStyle w:val="ListParagraph"/>
        <w:numPr>
          <w:ilvl w:val="0"/>
          <w:numId w:val="2"/>
        </w:numPr>
        <w:spacing w:after="70"/>
        <w:jc w:val="both"/>
      </w:pPr>
      <w:r>
        <w:rPr>
          <w:rFonts w:ascii="Times New Roman" w:cs="Times New Roman" w:eastAsia="Times New Roman" w:hAnsi="Times New Roman"/>
          <w:sz w:val="22"/>
          <w:szCs w:val="22"/>
        </w:rPr>
        <w:t xml:space="preserve">DERIVED: the mechanism (a parity-odd CS coupling from the rope helix) and the functional form EB/EE = sin(4β)/2, flat in ℓ. The flatness is a genuine rope-specific signature — many alternative mechanisms predict ℓ-dependence.</w:t>
      </w:r>
    </w:p>
    <w:p>
      <w:pPr>
        <w:pStyle w:val="ListParagraph"/>
        <w:numPr>
          <w:ilvl w:val="0"/>
          <w:numId w:val="2"/>
        </w:numPr>
        <w:spacing w:after="70"/>
        <w:jc w:val="both"/>
      </w:pPr>
      <w:r>
        <w:rPr>
          <w:rFonts w:ascii="Times New Roman" w:cs="Times New Roman" w:eastAsia="Times New Roman" w:hAnsi="Times New Roman"/>
          <w:sz w:val="22"/>
          <w:szCs w:val="22"/>
        </w:rPr>
        <w:t xml:space="preserve">MEASURED: the rotation angle β (from Planck), which fixes the chirality product. The individual geometric factors (θ_W, n_rope, r_H) are not separately determined — only their product is constrained.</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LiteBIRD (launch ~2030s) is designed to measure CMB EB to the precision this prediction requires. The prediction is falsified if EB/EE is found inconsistent with sin(4β)/2 at the measured β, or if the cross-correlation shows significant multipole dependence rather than the predicted flatness. This is the cleanest near-term test of a rope-specific mechanism: an outside experiment, a sharp number, and a distinctive spectral shape.</w:t>
      </w:r>
    </w:p>
    <w:p>
      <w:r>
        <w:br w:type="page"/>
      </w:r>
    </w:p>
    <w:p>
      <w:pPr>
        <w:pStyle w:val="Heading1"/>
        <w:spacing w:after="140" w:before="320"/>
      </w:pPr>
      <w:r>
        <w:rPr>
          <w:rFonts w:ascii="Times New Roman" w:cs="Times New Roman" w:eastAsia="Times New Roman" w:hAnsi="Times New Roman"/>
          <w:b/>
          <w:bCs/>
          <w:color w:val="1F3864"/>
          <w:sz w:val="26"/>
          <w:szCs w:val="26"/>
        </w:rPr>
        <w:t xml:space="preserve">6.  Prediction 4 — The MOND Interpolation Shape</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Beyond the acceleration scale (Prediction 1), the rope tension response in the weak-field regime fixes the SHAPE of the transition between Newtonian and modified dynamics — the interpolation function ν(y). The rope form is a tanh-type function, distinct from the “simple” and “standard” interpolation functions commonly fit to data. The forms differ by about 8% in the transition region (accelerations near g†), where rotation-curve data are most constraining.</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Inputs (derived vs measured)</w:t>
      </w:r>
    </w:p>
    <w:p>
      <w:pPr>
        <w:pStyle w:val="ListParagraph"/>
        <w:numPr>
          <w:ilvl w:val="0"/>
          <w:numId w:val="2"/>
        </w:numPr>
        <w:spacing w:after="70"/>
        <w:jc w:val="both"/>
      </w:pPr>
      <w:r>
        <w:rPr>
          <w:rFonts w:ascii="Times New Roman" w:cs="Times New Roman" w:eastAsia="Times New Roman" w:hAnsi="Times New Roman"/>
          <w:sz w:val="22"/>
          <w:szCs w:val="22"/>
        </w:rPr>
        <w:t xml:space="preserve">DERIVED: the interpolation shape from the rope tension’s nonlinear response. No per-galaxy fitting of the shape is permitted — it is a single fixed function for all galaxies.</w:t>
      </w:r>
    </w:p>
    <w:p>
      <w:pPr>
        <w:pStyle w:val="ListParagraph"/>
        <w:numPr>
          <w:ilvl w:val="0"/>
          <w:numId w:val="2"/>
        </w:numPr>
        <w:spacing w:after="70"/>
        <w:jc w:val="both"/>
      </w:pPr>
      <w:r>
        <w:rPr>
          <w:rFonts w:ascii="Times New Roman" w:cs="Times New Roman" w:eastAsia="Times New Roman" w:hAnsi="Times New Roman"/>
          <w:sz w:val="22"/>
          <w:szCs w:val="22"/>
        </w:rPr>
        <w:t xml:space="preserve">MEASURED: only the overall scale g† (Prediction 1) enters; the shape adds no new free parameter.</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The SPARC database of high-quality rotation curves is available now and resolves the transition regime for many galaxies. The prediction is falsified if the data systematically prefer a different interpolation shape (e.g. the standard y/√(1+y²) form) over the rope tanh form at a significance the ~8% difference makes accessible. This is the one prediction testable with existing data today, and therefore the natural first target for a skeptical reviewer.</w:t>
      </w:r>
    </w:p>
    <w:p>
      <w:r>
        <w:br w:type="page"/>
      </w:r>
    </w:p>
    <w:p>
      <w:pPr>
        <w:pStyle w:val="Heading1"/>
        <w:spacing w:after="140" w:before="320"/>
      </w:pPr>
      <w:r>
        <w:rPr>
          <w:rFonts w:ascii="Times New Roman" w:cs="Times New Roman" w:eastAsia="Times New Roman" w:hAnsi="Times New Roman"/>
          <w:b/>
          <w:bCs/>
          <w:color w:val="1F3864"/>
          <w:sz w:val="26"/>
          <w:szCs w:val="26"/>
        </w:rPr>
        <w:t xml:space="preserve">7.  Prediction 5 (Structural) — Gauge-Boson Koide Structure</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(d_½ = Φ at k = 3) is exact mathematics. We state this as a structural prediction only: it is a clean consequence of the framework but we do not have a direct experimental test for it, and we do not count it among the four empirical predictions above.</w:t>
      </w:r>
    </w:p>
    <w:p>
      <w:pPr>
        <w:spacing w:after="80"/>
      </w:pPr>
      <w:r>
        <w:rPr>
          <w:sz w:val="20"/>
          <w:szCs w:val="20"/>
        </w:rPr>
        <w:t xml:space="preserve"/>
      </w:r>
    </w:p>
    <w:p>
      <w:pPr>
        <w:pBdr>
          <w:bottom w:val="single" w:color="6B2737" w:sz="8" w:space="1"/>
        </w:pBdr>
        <w:spacing w:after="0" w:before="0"/>
      </w:pPr>
      <w:r>
        <w:rPr>
          <w:sz w:val="20"/>
          <w:szCs w:val="20"/>
        </w:rPr>
        <w:t xml:space="preserve"/>
      </w:r>
    </w:p>
    <w:p>
      <w:pPr>
        <w:spacing w:after="80"/>
      </w:pPr>
      <w:r>
        <w:rPr>
          <w:sz w:val="20"/>
          <w:szCs w:val="20"/>
        </w:rPr>
        <w:t xml:space="preserve"/>
      </w:r>
    </w:p>
    <w:p>
      <w:pPr>
        <w:pStyle w:val="Heading1"/>
        <w:spacing w:after="140" w:before="320"/>
      </w:pPr>
      <w:r>
        <w:rPr>
          <w:rFonts w:ascii="Times New Roman" w:cs="Times New Roman" w:eastAsia="Times New Roman" w:hAnsi="Times New Roman"/>
          <w:b/>
          <w:bCs/>
          <w:color w:val="1F3864"/>
          <w:sz w:val="26"/>
          <w:szCs w:val="26"/>
        </w:rPr>
        <w:t xml:space="preserve">8.  Prediction 6 (Structural / Provisional) — Correlated Variation of α and G</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The recent microscopic work expresses the electromagnetic coupling and the gravitational coupling in the SAME rope-medium primitives. The electromagnetic energy coefficient is c = κ a /(3T²), giving a dimensionless EM strength α ∼ 2T²/(κ a); the gravitational coupling is governed by the same rope tension T. Because both couplings are functions of one shared set of primitives (tension T, shared-atom bond stiffness κ, rope spacing a), α and G are NOT independent — a point on which this framework differs sharply from standard physics, where they are unrelated.</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If a shared primitive drifts (in space or time), α and G must co-vary in a fixed, scale-free ratio. For drift in the shared tension T, differentiating α ∼ 2T²/(κ a) and the natural rope gravity-rigidity scaling G ∼ 1/(T a) gives:</w:t>
      </w:r>
    </w:p>
    <w:p>
      <w:pPr>
        <w:spacing w:after="120" w:before="60" w:line="276"/>
        <w:jc w:val="center"/>
      </w:pPr>
      <w:r>
        <w:rPr>
          <w:rFonts w:ascii="Cambria Math" w:cs="Cambria Math" w:eastAsia="Cambria Math" w:hAnsi="Cambria Math"/>
          <w:i/>
          <w:iCs/>
          <w:sz w:val="22"/>
          <w:szCs w:val="22"/>
        </w:rPr>
        <w:t xml:space="preserve">d ln α  =  −2 d ln G          (tension-driven drift)</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equivalently α̇/α = −2 Ġ/G. The coefficient is a pure number, independent of the undetermined absolute rope scale — which is why this survives as a prediction even though the individual primitives are not yet independently fixed. It also differs from generic varying-constants models, which impose no fixed relation between α̇ and Ġ.</w:t>
      </w:r>
    </w:p>
    <w:p>
      <w:pPr>
        <w:pStyle w:val="Heading2"/>
        <w:spacing w:after="90" w:before="200"/>
      </w:pPr>
      <w:r>
        <w:rPr>
          <w:rFonts w:ascii="Times New Roman" w:cs="Times New Roman" w:eastAsia="Times New Roman" w:hAnsi="Times New Roman"/>
          <w:b/>
          <w:bCs/>
          <w:i/>
          <w:iCs/>
          <w:color w:val="2E4057"/>
          <w:sz w:val="22"/>
          <w:szCs w:val="22"/>
        </w:rPr>
        <w:t xml:space="preserve">Inputs (derived vs assumed)</w:t>
      </w:r>
    </w:p>
    <w:p>
      <w:pPr>
        <w:pStyle w:val="ListParagraph"/>
        <w:numPr>
          <w:ilvl w:val="0"/>
          <w:numId w:val="2"/>
        </w:numPr>
        <w:spacing w:after="70"/>
        <w:jc w:val="both"/>
      </w:pPr>
      <w:r>
        <w:rPr>
          <w:rFonts w:ascii="Times New Roman" w:cs="Times New Roman" w:eastAsia="Times New Roman" w:hAnsi="Times New Roman"/>
          <w:sz w:val="22"/>
          <w:szCs w:val="22"/>
        </w:rPr>
        <w:t>α ∼ 2T²/(κ a): from the EM energy coefficient c = κ a/(2T²), whose chain (boundary continuity → energy minimization → EFT form → microscopic coefficient) is derived to rope-medium primitives, with the locking energy J = T²/κ now EXACT from endpoint mechanics in the harmonic regime.</w:t>
      </w:r>
    </w:p>
    <w:p>
      <w:pPr>
        <w:pStyle w:val="ListParagraph"/>
        <w:numPr>
          <w:ilvl w:val="0"/>
          <w:numId w:val="2"/>
        </w:numPr>
        <w:spacing w:after="70"/>
        <w:jc w:val="both"/>
      </w:pPr>
      <w:r>
        <w:rPr>
          <w:rFonts w:ascii="Times New Roman" w:cs="Times New Roman" w:eastAsia="Times New Roman" w:hAnsi="Times New Roman"/>
          <w:sz w:val="22"/>
          <w:szCs w:val="22"/>
        </w:rPr>
        <w:t xml:space="preserve">G ∼ 1/(T a): the natural tension-rigidity scaling of the gravity sector. This is an ASSUMED scaling, NOT yet derived to the same rigor as the EM coefficient. The specific exponent −2 depends on it.</w:t>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Testable now against combined bounds: quasar-absorption limits on α̇ and lunar-laser-ranging / pulsar-timing limits on Ġ. If a tension-driven drift of the constants is ever detected, the framework requires α̇/α = −2 Ġ/G; a measured ratio inconsistent with −2 (for tension-channel drift) falsifies the shared-tension structure. Two honest qualifications: (i) the number −2 is PROVISIONAL on deriving G(T,κ,a) rigorously — the robust, framework-forced content is that α and G co-vary in a FIXED ratio when a shared primitive drifts, not the specific value; (ii) current data are consistent with NO variation of either constant, so this is at present a bound and a standing prediction, not a detection. Deriving G(T,κ,a) to the EM sector’s standard is the single step that would turn the ratio into a sharp number the framework stakes itself on.</w:t>
      </w:r>
    </w:p>
    <w:p>
      <w:pPr>
        <w:spacing w:after="80"/>
      </w:pPr>
      <w:r>
        <w:rPr>
          <w:sz w:val="20"/>
          <w:szCs w:val="20"/>
        </w:rPr>
        <w:t xml:space="preserve"/>
      </w:r>
    </w:p>
    <w:p>
      <w:pPr>
        <w:pBdr>
          <w:bottom w:val="single" w:color="6B2737" w:sz="8" w:space="1"/>
        </w:pBdr>
        <w:spacing w:after="0" w:before="0"/>
      </w:pPr>
      <w:r>
        <w:rPr>
          <w:sz w:val="20"/>
          <w:szCs w:val="20"/>
        </w:rPr>
        <w:t xml:space="preserve"/>
      </w:r>
    </w:p>
    <w:p>
      <w:pPr>
        <w:spacing w:after="80"/>
      </w:pPr>
      <w:r>
        <w:rPr>
          <w:sz w:val="20"/>
          <w:szCs w:val="20"/>
        </w:rPr>
        <w:t xml:space="preserve"/>
      </w:r>
    </w:p>
    <w:p>
      <w:pPr>
        <w:pStyle w:val="Heading1"/>
        <w:spacing w:after="140" w:before="320"/>
      </w:pPr>
      <w:r>
        <w:rPr>
          <w:rFonts w:ascii="Times New Roman" w:cs="Times New Roman" w:eastAsia="Times New Roman" w:hAnsi="Times New Roman"/>
          <w:b/>
          <w:bCs/>
          <w:color w:val="1F3864"/>
          <w:sz w:val="26"/>
          <w:szCs w:val="26"/>
        </w:rPr>
        <w:t xml:space="preserve">9.  Honest Status of the Framework</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For any reviewer evaluating these predictions, the following should be stated plainly:</w:t>
      </w:r>
    </w:p>
    <w:p>
      <w:pPr>
        <w:spacing w:after="80"/>
      </w:pPr>
      <w:r>
        <w:rPr>
          <w:sz w:val="20"/>
          <w:szCs w:val="20"/>
        </w:rPr>
        <w:t xml:space="preserve"/>
      </w:r>
    </w:p>
    <w:p>
      <w:pPr>
        <w:pStyle w:val="ListParagraph"/>
        <w:numPr>
          <w:ilvl w:val="0"/>
          <w:numId w:val="2"/>
        </w:numPr>
        <w:spacing w:after="70"/>
        <w:jc w:val="both"/>
      </w:pPr>
      <w:r>
        <w:rPr>
          <w:rFonts w:ascii="Times New Roman" w:cs="Times New Roman" w:eastAsia="Times New Roman" w:hAnsi="Times New Roman"/>
          <w:sz w:val="22"/>
          <w:szCs w:val="22"/>
        </w:rPr>
        <w:t xml:space="preserve">The rope hypothesis is non-standard, self-published, and not peer-reviewed. These predictions are presented as empirical consequences of specific stated relations, not as derivations from established physics.</w:t>
      </w:r>
    </w:p>
    <w:p>
      <w:pPr>
        <w:pStyle w:val="ListParagraph"/>
        <w:numPr>
          <w:ilvl w:val="0"/>
          <w:numId w:val="2"/>
        </w:numPr>
        <w:spacing w:after="70"/>
        <w:jc w:val="both"/>
      </w:pPr>
      <w:r>
        <w:rPr>
          <w:rFonts w:ascii="Times New Roman" w:cs="Times New Roman" w:eastAsia="Times New Roman" w:hAnsi="Times New Roman"/>
          <w:sz w:val="22"/>
          <w:szCs w:val="22"/>
        </w:rPr>
        <w:t xml:space="preserve">Two of the four predictions (the neutrino π/12 offset; the MOND 2π coefficient) rest on inputs that are empirical choices, not derived. They are falsifiable but not parameter-free, and we have marked exactly where.</w:t>
      </w:r>
    </w:p>
    <w:p>
      <w:pPr>
        <w:pStyle w:val="ListParagraph"/>
        <w:numPr>
          <w:ilvl w:val="0"/>
          <w:numId w:val="2"/>
        </w:numPr>
        <w:spacing w:after="70"/>
        <w:jc w:val="both"/>
      </w:pPr>
      <w:r>
        <w:rPr>
          <w:rFonts w:ascii="Times New Roman" w:cs="Times New Roman" w:eastAsia="Times New Roman" w:hAnsi="Times New Roman"/>
          <w:sz w:val="22"/>
          <w:szCs w:val="22"/>
        </w:rPr>
        <w:t xml:space="preserve">The framework's deepest open problem — deriving absolute particle masses (and hence atomic and molecular masses) — is UNSOLVED. A systematic search ruled out eight natural mechanisms; dimensional transmutation was closed by a structural result (the rope's dimensionless sector sits at a conformal fixed point, so it cannot run to generate a mass hierarchy). The framework openly publishes this failure alongside its successes.</w:t>
      </w:r>
    </w:p>
    <w:p>
      <w:pPr>
        <w:pStyle w:val="ListParagraph"/>
        <w:numPr>
          <w:ilvl w:val="0"/>
          <w:numId w:val="2"/>
        </w:numPr>
        <w:spacing w:after="70"/>
        <w:jc w:val="both"/>
      </w:pPr>
      <w:r>
        <w:rPr>
          <w:rFonts w:ascii="Times New Roman" w:cs="Times New Roman" w:eastAsia="Times New Roman" w:hAnsi="Times New Roman"/>
          <w:sz w:val="22"/>
          <w:szCs w:val="22"/>
        </w:rPr>
        <w:t xml:space="preserve">The strongest internal result — lepton mass RATIOS from φ = (3+Φ)θ_W to ~0.5% — is a CONJECTURE, not a theorem: its load-bearing step (a time-reversal parity assignment) rests on the nonzero chiral central charge c = 9/5, which is rigorous, but two further assumptions remain, and the result requires the measured Weinberg angle. It is not a parameter-free mass prediction and is not listed among the four above.</w:t>
      </w:r>
    </w:p>
    <w:p>
      <w:pPr>
        <w:spacing w:after="8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shd w:fill="1F3864"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6"/>
                <w:szCs w:val="16"/>
              </w:rPr>
              <w:t xml:space="preserve">THE INVITATION</w:t>
            </w:r>
          </w:p>
        </w:tc>
        <w:tc>
          <w:tcPr>
            <w:tcMar>
              <w:top w:type="dxa" w:w="80"/>
              <w:left w:type="dxa" w:w="120"/>
              <w:bottom w:type="dxa" w:w="80"/>
              <w:right w:type="dxa" w:w="120"/>
            </w:tcMar>
          </w:tcPr>
          <w:p>
            <w:pPr>
              <w:spacing w:after="40"/>
              <w:jc w:val="both"/>
            </w:pPr>
            <w:r>
              <w:rPr>
                <w:rFonts w:ascii="Times New Roman" w:cs="Times New Roman" w:eastAsia="Times New Roman" w:hAnsi="Times New Roman"/>
                <w:sz w:val="20"/>
                <w:szCs w:val="20"/>
              </w:rPr>
              <w:t xml:space="preserve">These four predictions are offered for falsification. The framework that motivates them is speculative and incomplete, and its incompleteness is documented as carefully as its claims. A reviewer does not need to engage the ontology to test the numbers. If the cleanest test (Prediction 4, available now in SPARC) or the sharpest (Prediction 3, LiteBIRD) fails, the corresponding relation is wrong, and we want to know.</w:t>
            </w:r>
          </w:p>
        </w:tc>
      </w:tr>
    </w:tbl>
    <w:p>
      <w:pPr>
        <w:spacing w:after="80"/>
      </w:pPr>
      <w:r>
        <w:rPr>
          <w:sz w:val="20"/>
          <w:szCs w:val="20"/>
        </w:rPr>
        <w:t xml:space="preserve"/>
      </w:r>
    </w:p>
    <w:p>
      <w:pPr>
        <w:pBdr>
          <w:bottom w:val="single" w:color="1F3864" w:sz="8" w:space="1"/>
        </w:pBdr>
        <w:spacing w:after="0" w:before="0"/>
      </w:pPr>
      <w:r>
        <w:rPr>
          <w:sz w:val="20"/>
          <w:szCs w:val="20"/>
        </w:rPr>
        <w:t xml:space="preserve"/>
      </w:r>
    </w:p>
    <w:p>
      <w:pPr>
        <w:spacing w:after="80"/>
      </w:pPr>
      <w:r>
        <w:rPr>
          <w:sz w:val="20"/>
          <w:szCs w:val="20"/>
        </w:rPr>
        <w:t xml:space="preserve"/>
      </w:r>
    </w:p>
    <w:p>
      <w:pPr>
        <w:pStyle w:val="Heading1"/>
        <w:spacing w:after="140" w:before="320"/>
      </w:pPr>
      <w:r>
        <w:rPr>
          <w:rFonts w:ascii="Times New Roman" w:cs="Times New Roman" w:eastAsia="Times New Roman" w:hAnsi="Times New Roman"/>
          <w:b/>
          <w:bCs/>
          <w:color w:val="1F3864"/>
          <w:sz w:val="26"/>
          <w:szCs w:val="26"/>
        </w:rPr>
        <w:t xml:space="preserve">Acknowledgment of Origin</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(for example, treating magnetism as a vortex rather than a jump-rope structure). Crediting this origin is not a claim that Gaede endorses this work, nor an endorsement of all of his positions; it is the honest acknowledgment of where the foundational idea came from.</w:t>
      </w:r>
    </w:p>
    <w:p>
      <w:pPr>
        <w:pStyle w:val="Heading1"/>
        <w:spacing w:after="140" w:before="320"/>
      </w:pPr>
      <w:r>
        <w:rPr>
          <w:rFonts w:ascii="Times New Roman" w:cs="Times New Roman" w:eastAsia="Times New Roman" w:hAnsi="Times New Roman"/>
          <w:b/>
          <w:bCs/>
          <w:color w:val="1F3864"/>
          <w:sz w:val="26"/>
          <w:szCs w:val="26"/>
        </w:rPr>
        <w:t xml:space="preserve">References</w:t>
      </w:r>
    </w:p>
    <w:p>
      <w:pPr>
        <w:spacing w:after="70"/>
        <w:ind w:left="560" w:hanging="560"/>
      </w:pPr>
      <w:r>
        <w:rPr>
          <w:rFonts w:ascii="Times New Roman" w:cs="Times New Roman" w:eastAsia="Times New Roman" w:hAnsi="Times New Roman"/>
          <w:sz w:val="18"/>
          <w:szCs w:val="18"/>
        </w:rPr>
        <w:t xml:space="preserve">Eskilt, J. R. &amp; Komatsu, E. 2022, Phys. Rev. D 106, 063503 (cosmic birefringence).</w:t>
      </w:r>
    </w:p>
    <w:p>
      <w:pPr>
        <w:spacing w:after="70"/>
        <w:ind w:left="560" w:hanging="560"/>
      </w:pPr>
      <w:r>
        <w:rPr>
          <w:rFonts w:ascii="Times New Roman" w:cs="Times New Roman" w:eastAsia="Times New Roman" w:hAnsi="Times New Roman"/>
          <w:sz w:val="18"/>
          <w:szCs w:val="18"/>
        </w:rPr>
        <w:t xml:space="preserve">Brannen, C. 2006, unpublished (Koide neutrino phase offset π/12).</w:t>
      </w:r>
    </w:p>
    <w:p>
      <w:pPr>
        <w:spacing w:after="70"/>
        <w:ind w:left="560" w:hanging="560"/>
      </w:pPr>
      <w:r>
        <w:rPr>
          <w:rFonts w:ascii="Times New Roman" w:cs="Times New Roman" w:eastAsia="Times New Roman" w:hAnsi="Times New Roman"/>
          <w:sz w:val="18"/>
          <w:szCs w:val="18"/>
        </w:rPr>
        <w:t xml:space="preserve">Koide, Y. 1983, Phys. Lett. B 120, 161 (charged-lepton mass relation).</w:t>
      </w:r>
    </w:p>
    <w:p>
      <w:pPr>
        <w:spacing w:after="70"/>
        <w:ind w:left="560" w:hanging="560"/>
      </w:pPr>
      <w:r>
        <w:rPr>
          <w:rFonts w:ascii="Times New Roman" w:cs="Times New Roman" w:eastAsia="Times New Roman" w:hAnsi="Times New Roman"/>
          <w:sz w:val="18"/>
          <w:szCs w:val="18"/>
        </w:rPr>
        <w:t xml:space="preserve">Lelli, F., McGaugh, S. &amp; Schombert, J. 2016, AJ 152, 157 (SPARC database).</w:t>
      </w:r>
    </w:p>
    <w:p>
      <w:pPr>
        <w:spacing w:after="70"/>
        <w:ind w:left="560" w:hanging="560"/>
      </w:pPr>
      <w:r>
        <w:rPr>
          <w:rFonts w:ascii="Times New Roman" w:cs="Times New Roman" w:eastAsia="Times New Roman" w:hAnsi="Times New Roman"/>
          <w:sz w:val="18"/>
          <w:szCs w:val="18"/>
        </w:rPr>
        <w:t xml:space="preserve">Software: rope_solver 2.0 — open package, frozen APIs and benchmark IDs; every prediction reproducible from source with regression tests and an open registry of unsolved/falsified items.</w:t>
      </w:r>
    </w:p>
    <w:p>
      <w:pPr>
        <w:spacing w:after="80"/>
      </w:pPr>
      <w:r>
        <w:rPr>
          <w:sz w:val="20"/>
          <w:szCs w:val="20"/>
        </w:rPr>
        <w:t xml:space="preserve"/>
      </w:r>
    </w:p>
    <w:p>
      <w:pPr>
        <w:pBdr>
          <w:bottom w:val="single" w:color="1F3864" w:sz="8" w:space="1"/>
        </w:pBdr>
        <w:spacing w:after="0" w:before="0"/>
      </w:pPr>
      <w:r>
        <w:rPr>
          <w:sz w:val="20"/>
          <w:szCs w:val="20"/>
        </w:rPr>
        <w:t xml:space="preserve"/>
      </w:r>
    </w:p>
    <w:p>
      <w:pPr>
        <w:spacing w:after="80"/>
      </w:pPr>
      <w:r>
        <w:rPr>
          <w:sz w:val="20"/>
          <w:szCs w:val="20"/>
        </w:rPr>
        <w:t xml:space="preserve"/>
      </w:r>
    </w:p>
    <w:p>
      <w:pPr>
        <w:spacing w:after="150" w:before="0" w:line="276"/>
        <w:jc w:val="both"/>
      </w:pPr>
      <w:r>
        <w:rPr>
          <w:rFonts w:ascii="Times New Roman" w:cs="Times New Roman" w:eastAsia="Times New Roman" w:hAnsi="Times New Roman"/>
          <w:b w:val="false"/>
          <w:bCs w:val="false"/>
          <w:i/>
          <w:iCs/>
          <w:color w:val="666666"/>
          <w:sz w:val="16"/>
          <w:szCs w:val="16"/>
        </w:rPr>
        <w:t xml:space="preserve">Correspondence: Mark Palmer, Global Networking Practice, NTT DATA, Charlotte NC. Physics correspondence to palmer100@gmail.com. The author writes in a personal capacity. Numerical values computed with rope_solver 2.0 (open source); a reviewer can reproduce every figure in this note from the package.</w:t>
      </w:r>
    </w:p>
    <w:p>
      <w:r>
        <w:rPr>
          <w:b/>
        </w:rPr>
        <w:t>Two Predictions from Strand Extensibility</w:t>
      </w:r>
    </w:p>
    <w:p>
      <w:r>
        <w:t>1. Vacuum optical nonlinearity (Kerr-type). The strand stretch modulus k, required for the repulsive core (EM-RECON-009), makes light self-interact at quartic order with onset strain g* = √(4T₀/(k−T₀)) (EM-RECON-010). Identification with measured vacuum nonlinearity (light-by-light scattering; vacuum birefringence) measures k from pure optics; a functional form differing from Euler–Heisenberg would discriminate the rope mechanism.</w:t>
      </w:r>
    </w:p>
    <w:p>
      <w:r>
        <w:t>2. A dark, gapless, faster-than-c longitudinal tension channel. Stability requires k &gt; T₀, so longitudinal strand waves propagate at c_L,eff = √((k+λγ²τ₀²)/μ) &gt; c, with γ = 1/sin²θ derived from helix geometry (EM-RECON-012). The channel decouples from matter and light at linear order exactly (cubic-only coupling) and creates no causal paradox in the emergent-Lorentz framework (EM-RECON-011). Any observed linear coupling to a superluminal stress channel, or its firm exclusion at the predicted nonlinear coupling strength, bears directly on the extensibility primitive.</w:t>
      </w:r>
    </w:p>
    <w:p>
      <w:r>
        <w:rPr>
          <w:b/>
        </w:rPr>
        <w:t>The Vacuum-Nonlinearity Prediction, Quantified and Confronted</w:t>
      </w:r>
    </w:p>
    <w:p>
      <w:r>
        <w:t>The polarization structure of the rope vacuum birefringence is now computed exactly: anisotropy ratio 3:1 with NEGATIVE index shifts (background fields stiffen the network; light speeds up), versus QED's 7:4 with positive shifts — a double qualitative discriminator (EM-RECON-016). Confronting the magnitude |Δn| = ½(k/T₀−1)ε₀c²B²/Σ with the final PVLAS limit Δn = (12±17)×10⁻²³ at 2.5 T EXCLUDES the identification of the rope quartic with the observed light-by-light nonlinearity (Σ ≈ 1.5×10²⁵ J/m³ overshoots by ~570×) and sets Σ ≳ 8.6×10²⁷(k/T₀−1) J/m³. Decisive window: at this bound the rope |Δn| still exceeds QED's prediction with opposite sign, so vacuum-birefringence experiments improving toward QED sensitivity will either detect a negative Δn with 3:1 anisotropy (rope signature) or push Σ higher and confirm QED. Either outcome is informative; the framework has already been corrected once by this confrontation.</w:t>
      </w:r>
    </w:p>
    <w:p>
      <w:r>
        <w:rPr>
          <w:b/>
        </w:rPr>
        <w:t>The Heavy-Hydride 90-Degree Asymptote</w:t>
      </w:r>
    </w:p>
    <w:p>
      <w:r>
        <w:t>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(no member below 90° — a single 89-degree hydride would have falsified the structure), with the XH₃ &gt; XH₂ crowding law holding at every period and the opening's decay length matching the hydrogen core width used independently by two earlier sessions. STANDING PREDICTIONS for members not yet well measured: H₂Po between 90.0° and 90.7°; BiH₃ between 90.0° and 91.5° — one-sided windows, registered in advance. Tier label: consistency-tier against quantum chemistry (which predicts these angles too); the distinctive content is the asymptote's derivation from two integration-verified theorems rather than a hybridization narrative. Benchmark: benchmarks/em/heavy_hydride_asymptote.py.</w:t>
      </w:r>
    </w:p>
    <w:p>
      <w:r>
        <w:rPr>
          <w:b/>
          <w:i w:val="0"/>
        </w:rPr>
        <w:t>The Measurement-Sector Predictions (added at v2.2.5, July 2026)</w:t>
      </w:r>
    </w:p>
    <w:p>
      <w:r>
        <w:rPr>
          <w:b w:val="0"/>
          <w:i w:val="0"/>
        </w:rPr>
        <w:t>With the v2.2.5 cycle, the measurement chain — amplitude, detection event, reservoir, and reservoir spectrum — was constructed on literal strands (FND-STRAND-005 through 008), and a new family of falsifiable commitments follows, stated in the same discipline as the predictions above: what is committed, what is derived versus assumed, and what result would kill each. One structural caveat governs the family: the framework's standing absence of an absolute scale means several of these commit to SHAPES and RELATIONS while leaving locations in frequency or length open.</w:t>
      </w:r>
    </w:p>
    <w:p>
      <w:r>
        <w:rPr>
          <w:b/>
          <w:i w:val="0"/>
        </w:rPr>
        <w:t>Prediction 7 — The Gapped Environmental Noise Floor (structural; scale-open)</w:t>
      </w:r>
    </w:p>
    <w:p>
      <w:r>
        <w:rPr>
          <w:b w:val="0"/>
          <w:i w:val="0"/>
        </w:rPr>
        <w:t>The relation: the weave reservoir's normal-mode spectrum is gapped — every mode carries the strand mass, band [omega_gap, omega_gap sqrt(1 + 4 kt)], NO soft modes; environmental noise sourced by the fundamental medium arrives only at and above the gap. DERIVED: the gap's existence and the band shape, from the engine's own Hessian (FND-STRAND-008; matched to dispersion at 7e-16). OPEN: the gap's location in hertz. Falsifier: an established, irreducible, gapless environmental noise spectrum extending to zero frequency at every accessible scale, attributable to the fundamental medium rather than to ordinary matter environments.</w:t>
      </w:r>
    </w:p>
    <w:p>
      <w:r>
        <w:rPr>
          <w:b/>
          <w:i w:val="0"/>
        </w:rPr>
        <w:t>Prediction 8 — Detection Is Nucleation Kinetics</w:t>
      </w:r>
    </w:p>
    <w:p>
      <w:r>
        <w:rPr>
          <w:b w:val="0"/>
          <w:i w:val="0"/>
        </w:rPr>
        <w:t>The relation: the detector click is a thermally activated topological event (kink-pair nucleation, FND-STRAND-006/007), committing to the full first-passage package where the model applies: near-exponential waiting times at fixed drive, Arrhenius dark counts, latency decreasing with channel energy. DERIVED: the event's existence, localization, irreversibility, and channel-energy drive (Arrhenius-linear in amplitude-squared, r-squared 0.984). HONEST CAVEAT: parts of this package resemble known avalanche-detector phenomenology — the overlap is why the model is plausible, and the commitment is to the WHOLE package. Falsifier: confirmed click statistics that are non-activated and non-first-passage in a regime where the model's detector physics applies.</w:t>
      </w:r>
    </w:p>
    <w:p>
      <w:r>
        <w:rPr>
          <w:b/>
          <w:i w:val="0"/>
        </w:rPr>
        <w:t>Prediction 9 — Spin-1/2 Requires Extension (in-principle)</w:t>
      </w:r>
    </w:p>
    <w:p>
      <w:r>
        <w:rPr>
          <w:b w:val="0"/>
          <w:i w:val="0"/>
        </w:rPr>
        <w:t>The relation: the half-angle response is the SU(2) lift, which a point orientation cannot carry and a framed strand cannot avoid (FND-STRAND-005; measured at 1e-9 for arbitrary axes and profiles). Commitment: every spin-1/2 particle has internal structure at SOME finite scale. Scale-open, hence one-sided in practice: compositeness bounds may rise indefinitely without contradiction, but a CONFIRMED structureless point with spin-1/2 at all scales would falsify the mechanism outright.</w:t>
      </w:r>
    </w:p>
    <w:p>
      <w:r>
        <w:rPr>
          <w:b/>
          <w:i w:val="0"/>
        </w:rPr>
        <w:t>Prediction 10 — Tsirelson Forever, with the Failed Organ Named</w:t>
      </w:r>
    </w:p>
    <w:p>
      <w:r>
        <w:rPr>
          <w:b w:val="0"/>
          <w:i w:val="0"/>
        </w:rPr>
        <w:t>The relation: CHSH-type correlations never exceed 2 sqrt 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 sqrt 2 — which kills the measurement sector at a named claim, not merely embarrasses it.</w:t>
      </w:r>
    </w:p>
    <w:p>
      <w:r>
        <w:rPr>
          <w:b/>
          <w:i w:val="0"/>
        </w:rPr>
        <w:t>Prediction 11 — Born's Square from Channel Energy</w:t>
      </w:r>
    </w:p>
    <w:p>
      <w:r>
        <w:rPr>
          <w:b w:val="0"/>
          <w:i w:val="0"/>
        </w:rPr>
        <w:t>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p>
      <w:r>
        <w:rPr>
          <w:b/>
          <w:i w:val="0"/>
        </w:rPr>
        <w:t>Prediction 12 — Analog Universality (testable now)</w:t>
      </w:r>
    </w:p>
    <w:p>
      <w:r>
        <w:rPr>
          <w:b w:val="0"/>
          <w:i w:val="0"/>
        </w:rPr>
        <w:t>The relation: any engineered system realizing the twist-chain physics — coupled pendulum arrays, magnetic domain-wall lattices, cold-atom sine-Gordon simulators — must exhibit the friction cliff (seven-order exponential mobility suppression, slope approximately -8.5 per width unit, arrest/coast dichotomy) with the LAW transferring across implementations and only prefactors carrying the coupling convention (FND-KIN-002; FND-STRAND-002, slope agreement 0.16 percent). Engineered filament brushes should likewise show the transparent-to-solid coverage crossover at gap approximately the contact size with the measured inverse-fourth-power approach (FND-STRAND-004). No knowledge of the absolute strand scale is required, because the experimenter builds the system; these are testable with current laboratory technique.</w:t>
      </w:r>
    </w:p>
    <w:p>
      <w:r>
        <w:rPr>
          <w:b w:val="0"/>
          <w:i/>
        </w:rPr>
        <w:t>A retrodiction, declared as such: the Calugareanu ledger and the supercoiling instability (FND-STRAND-003) are confirmed daily by DNA mechanics — consistency evidence for the strand engine, counted here as retrodiction, not prediction.</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CHEM-GEO-002 [Derived]: </w:t>
      </w:r>
      <w:r>
        <w:t>HEAVY-HYDRIDE 90-DEGREE ASYMPTOTE  [benchmark: benchmarks/em/heavy_hydride_asymptote.py]</w:t>
      </w:r>
    </w:p>
    <w:p>
      <w:r>
        <w:t>• FND-STRAND-005 [Modeled]: THE INTERACTION MODEL ON LITERAL STRANDS — the framed strand is the SU(2) lift  [benchmark: benchmarks/foundations/strand_interaction_model.py]</w:t>
      </w:r>
    </w:p>
    <w:p>
      <w:r>
        <w:t>• FND-STRAND-006 [Modeled]: THE NUCLEATION EVENT ON STRANDS — the dot as topological event  [benchmark: benchmarks/foundations/strand_nucleation.py]</w:t>
      </w:r>
    </w:p>
    <w:p>
      <w:r>
        <w:t>• FND-STRAND-007 [Modeled]: THE WEAVE AS RESERVOIR — the bath derived  [benchmark: benchmarks/foundations/strand_weave_reservoir.py]</w:t>
      </w:r>
    </w:p>
    <w:p>
      <w:r>
        <w:t>• FND-STRAND-008 [Modeled]: THE WEAVE SPECTRUM FROM THE ENGINE — the bath is gapped  [benchmark: benchmarks/foundations/strand_weave_spectrum.py]</w:t>
      </w:r>
    </w:p>
    <w:p>
      <w:r>
        <w:t>• QB-019 [Derived]: MECHANISM-UNITY SELECTS TSIRELSON  [benchmark: benchmarks/bell/tsirelson_selection.py]</w:t>
      </w:r>
    </w:p>
    <w:p>
      <w:r>
        <w:t>• QB-022 [Modeled]: MECHANISM-UNITY DECOMPOSED AND GROUNDED (SOVO)  [benchmark: benchmarks/bell/mechanism_unity_grounded.py]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40" w:before="320"/>
      <w:outlineLvl w:val="0"/>
    </w:pPr>
    <w:rPr>
      <w:rFonts w:ascii="Times New Roman" w:cs="Times New Roman" w:eastAsia="Times New Roman" w:hAnsi="Times New Roman"/>
      <w:b/>
      <w:bCs/>
      <w:color w:val="1F3864"/>
      <w:sz w:val="26"/>
      <w:szCs w:val="26"/>
    </w:rPr>
  </w:style>
  <w:style w:type="paragraph" w:styleId="Heading2">
    <w:name w:val="Heading 2"/>
    <w:basedOn w:val="Normal"/>
    <w:next w:val="Normal"/>
    <w:pPr>
      <w:spacing w:after="90" w:before="200"/>
      <w:outlineLvl w:val="1"/>
    </w:pPr>
    <w:rPr>
      <w:rFonts w:ascii="Times New Roman" w:cs="Times New Roman" w:eastAsia="Times New Roman" w:hAnsi="Times New Roman"/>
      <w:b/>
      <w:bCs/>
      <w:i/>
      <w:iCs/>
      <w:color w:val="2E405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2026-07-03T04:14:30.973Z</dcterms:created>
  <dcterms:modified xsi:type="dcterms:W3CDTF">2026-07-03T04:14:30.985Z</dcterms:modified>
</cp:coreProperties>
</file>

<file path=docProps/custom.xml><?xml version="1.0" encoding="utf-8"?>
<Properties xmlns="http://schemas.openxmlformats.org/officeDocument/2006/custom-properties" xmlns:vt="http://schemas.openxmlformats.org/officeDocument/2006/docPropsVTypes"/>
</file>