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1"/>
        <w:keepLines w:val="1"/>
        <w:spacing w:before="360" w:after="80"/>
        <w:rPr>
          <w:rFonts w:ascii="Arial" w:cs="Arial" w:hAnsi="Arial" w:eastAsia="Arial"/>
          <w:b w:val="0"/>
          <w:bCs w:val="0"/>
          <w:outline w:val="0"/>
          <w:color w:val="0f4761"/>
          <w:kern w:val="0"/>
          <w:sz w:val="40"/>
          <w:szCs w:val="40"/>
          <w:u w:color="0f4761"/>
          <w14:textFill>
            <w14:solidFill>
              <w14:srgbClr w14:val="0F4761"/>
            </w14:solidFill>
          </w14:textFill>
        </w:rPr>
      </w:pPr>
      <w:r>
        <w:rPr>
          <w:rFonts w:ascii="Arial" w:hAnsi="Arial"/>
          <w:b w:val="0"/>
          <w:bCs w:val="0"/>
          <w:outline w:val="0"/>
          <w:color w:val="0f4761"/>
          <w:kern w:val="0"/>
          <w:sz w:val="40"/>
          <w:szCs w:val="40"/>
          <w:u w:color="0f4761"/>
          <w:rtl w:val="0"/>
          <w:lang w:val="en-US"/>
          <w14:textFill>
            <w14:solidFill>
              <w14:srgbClr w14:val="0F4761"/>
            </w14:solidFill>
          </w14:textFill>
        </w:rPr>
        <w:t>Project: Summarizing and Analyzing Research Papers</w:t>
      </w:r>
    </w:p>
    <w:p>
      <w:pPr>
        <w:pStyle w:val="Heading 2"/>
        <w:keepNext w:val="1"/>
        <w:keepLines w:val="1"/>
        <w:spacing w:before="160" w:after="80"/>
        <w:rPr>
          <w:rFonts w:ascii="Arial" w:cs="Arial" w:hAnsi="Arial" w:eastAsia="Arial"/>
          <w:b w:val="0"/>
          <w:bCs w:val="0"/>
          <w:outline w:val="0"/>
          <w:color w:val="0f4761"/>
          <w:sz w:val="32"/>
          <w:szCs w:val="32"/>
          <w:u w:color="0f4761"/>
          <w14:textFill>
            <w14:solidFill>
              <w14:srgbClr w14:val="0F4761"/>
            </w14:solidFill>
          </w14:textFill>
        </w:rPr>
      </w:pPr>
      <w:r>
        <w:rPr>
          <w:rFonts w:ascii="Arial" w:hAnsi="Arial"/>
          <w:b w:val="0"/>
          <w:bCs w:val="0"/>
          <w:outline w:val="0"/>
          <w:color w:val="0f4761"/>
          <w:sz w:val="32"/>
          <w:szCs w:val="32"/>
          <w:u w:color="0f4761"/>
          <w:rtl w:val="0"/>
          <w:lang w:val="en-US"/>
          <w14:textFill>
            <w14:solidFill>
              <w14:srgbClr w14:val="0F4761"/>
            </w14:solidFill>
          </w14:textFill>
        </w:rPr>
        <w:t>Submission Template</w:t>
      </w:r>
    </w:p>
    <w:p>
      <w:pPr>
        <w:pStyle w:val="Normal (Web)"/>
        <w:rPr>
          <w:rFonts w:ascii="Arial" w:cs="Arial" w:hAnsi="Arial" w:eastAsia="Arial"/>
        </w:rPr>
      </w:pPr>
      <w:r>
        <w:rPr>
          <w:rFonts w:ascii="Arial" w:hAnsi="Arial"/>
          <w:b w:val="1"/>
          <w:bCs w:val="1"/>
          <w:rtl w:val="0"/>
          <w:lang w:val="en-US"/>
        </w:rPr>
        <w:t>Learner Name</w:t>
      </w:r>
      <w:r>
        <w:rPr>
          <w:rFonts w:ascii="Arial" w:hAnsi="Arial"/>
          <w:rtl w:val="0"/>
          <w:lang w:val="en-US"/>
        </w:rPr>
        <w:t xml:space="preserve">: </w:t>
      </w:r>
      <w:r>
        <w:rPr>
          <w:rFonts w:ascii="Arial" w:hAnsi="Arial"/>
          <w:rtl w:val="0"/>
          <w:lang w:val="en-US"/>
        </w:rPr>
        <w:t>SAHIL PATEL</w:t>
      </w:r>
    </w:p>
    <w:p>
      <w:pPr>
        <w:pStyle w:val="Normal (Web)"/>
        <w:rPr>
          <w:rFonts w:ascii="Arial" w:cs="Arial" w:hAnsi="Arial" w:eastAsia="Arial"/>
        </w:rPr>
      </w:pPr>
      <w:r>
        <w:rPr>
          <w:rFonts w:ascii="Arial" w:hAnsi="Arial"/>
          <w:b w:val="1"/>
          <w:bCs w:val="1"/>
          <w:rtl w:val="0"/>
          <w:lang w:val="en-US"/>
        </w:rPr>
        <w:t>Learner Email</w:t>
      </w:r>
      <w:r>
        <w:rPr>
          <w:rFonts w:ascii="Arial" w:hAnsi="Arial"/>
          <w:rtl w:val="0"/>
          <w:lang w:val="en-US"/>
        </w:rPr>
        <w:t xml:space="preserve">: </w:t>
      </w:r>
      <w:r>
        <w:rPr>
          <w:rFonts w:ascii="Arial" w:hAnsi="Arial"/>
          <w:rtl w:val="0"/>
          <w:lang w:val="en-US"/>
        </w:rPr>
        <w:t>sahil01patel11@gmail.com</w:t>
      </w:r>
    </w:p>
    <w:p>
      <w:pPr>
        <w:pStyle w:val="Normal (Web)"/>
        <w:rPr>
          <w:rFonts w:ascii="Arial" w:cs="Arial" w:hAnsi="Arial" w:eastAsia="Arial"/>
        </w:rPr>
      </w:pPr>
      <w:r>
        <w:rPr>
          <w:rFonts w:ascii="Arial" w:hAnsi="Arial"/>
          <w:b w:val="1"/>
          <w:bCs w:val="1"/>
          <w:rtl w:val="0"/>
          <w:lang w:val="en-US"/>
        </w:rPr>
        <w:t>Topic</w:t>
      </w:r>
      <w:r>
        <w:rPr>
          <w:rFonts w:ascii="Arial" w:hAnsi="Arial"/>
          <w:rtl w:val="0"/>
          <w:lang w:val="en-US"/>
        </w:rPr>
        <w:t>: Economics</w:t>
      </w:r>
    </w:p>
    <w:p>
      <w:pPr>
        <w:pStyle w:val="Normal (Web)"/>
        <w:rPr>
          <w:rFonts w:ascii="Arial" w:cs="Arial" w:hAnsi="Arial" w:eastAsia="Arial"/>
        </w:rPr>
      </w:pPr>
      <w:r>
        <w:rPr>
          <w:rFonts w:ascii="Arial" w:hAnsi="Arial"/>
          <w:b w:val="1"/>
          <w:bCs w:val="1"/>
          <w:rtl w:val="0"/>
          <w:lang w:val="en-US"/>
        </w:rPr>
        <w:t>Research Paper</w:t>
      </w:r>
      <w:r>
        <w:rPr>
          <w:rFonts w:ascii="Arial" w:hAnsi="Arial"/>
          <w:rtl w:val="0"/>
          <w:lang w:val="en-US"/>
        </w:rPr>
        <w:t>:</w:t>
      </w:r>
    </w:p>
    <w:p>
      <w:pPr>
        <w:pStyle w:val="Heading 3"/>
        <w:rPr>
          <w:rFonts w:ascii="Arial" w:cs="Arial" w:hAnsi="Arial" w:eastAsia="Arial"/>
        </w:rPr>
      </w:pPr>
      <w:r>
        <w:rPr>
          <w:rFonts w:ascii="Arial" w:hAnsi="Arial"/>
          <w:rtl w:val="0"/>
          <w:lang w:val="en-US"/>
        </w:rPr>
        <w:t>Initial Prompt</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 xml:space="preserve">: </w:t>
      </w:r>
    </w:p>
    <w:p>
      <w:pPr>
        <w:pStyle w:val="Normal (Web)"/>
        <w:rPr>
          <w:rFonts w:ascii="Arial" w:cs="Arial" w:hAnsi="Arial" w:eastAsia="Arial"/>
        </w:rPr>
      </w:pPr>
      <w:r>
        <w:rPr>
          <w:rFonts w:ascii="Arial" w:hAnsi="Arial"/>
          <w:rtl w:val="0"/>
          <w:lang w:val="en-US"/>
        </w:rPr>
        <w:t>Research on the economic impact of India's 2022 Goods and Services Tax (GST) reforms shows mixed results. The reforms simplified tax structures and boosted formalization, but small businesses faced compliance challenges. While GST increased tax revenue and economic transparency, short-term disruptions and uneven impacts across sectors led to varied outcomes in growth and employment.</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p>
    <w:p>
      <w:pPr>
        <w:pStyle w:val="Normal (Web)"/>
        <w:rPr>
          <w:rFonts w:ascii="Arial" w:cs="Arial" w:hAnsi="Arial" w:eastAsia="Arial"/>
        </w:rPr>
      </w:pPr>
      <w:r>
        <w:rPr>
          <w:rFonts w:ascii="Arial" w:hAnsi="Arial"/>
          <w:rtl w:val="0"/>
          <w:lang w:val="en-US"/>
        </w:rPr>
        <w:t>Research on the economic impact of India's 2022 Goods and Services Tax (GST) reforms highlights both positive and negative effects. The reforms streamlined tax administration, increased transparency, and boosted government revenue. They encouraged formalization of the economy, leading to long-term growth potential. However, small businesses struggled with compliance, facing increased operational costs. The reforms also caused short-term disruptions, particularly in sectors like manufacturing and trade. While GST is seen as a step towards a more efficient tax system, its uneven impact across different industries and the informal sector poses challenges to equitable economic growth.</w:t>
      </w:r>
    </w:p>
    <w:p>
      <w:pPr>
        <w:pStyle w:val="Heading 3"/>
        <w:rPr>
          <w:rFonts w:ascii="Arial" w:cs="Arial" w:hAnsi="Arial" w:eastAsia="Arial"/>
        </w:rPr>
      </w:pPr>
      <w:r>
        <w:rPr>
          <w:rFonts w:ascii="Arial" w:hAnsi="Arial"/>
          <w:rtl w:val="0"/>
          <w:lang w:val="en-US"/>
        </w:rPr>
        <w:t>Iteration 1</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w:t>
      </w:r>
      <w:r>
        <w:rPr>
          <w:rFonts w:ascii="Arial" w:hAnsi="Arial"/>
          <w:rtl w:val="0"/>
          <w:lang w:val="en-US"/>
        </w:rPr>
        <w:t>Research on India's 2022 GST reforms reveals a mix of outcomes. While the reforms streamlined taxation and boosted revenue, they imposed compliance challenges on small businesses. The short-term economic disruption was significant, especially in manufacturing and trade, but the long-term potential for growth and formalization is recognized.</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r>
        <w:rPr>
          <w:rFonts w:ascii="Arial" w:hAnsi="Arial"/>
          <w:shd w:val="clear" w:color="auto" w:fill="ffffff"/>
          <w:rtl w:val="0"/>
          <w:lang w:val="en-US"/>
        </w:rPr>
        <w:t>Research on India's 2022 GST reforms reveals a combination of positive and negative outcomes. The reforms streamlined tax structures, enhanced transparency, and increased government revenue. They encouraged the formalization of businesses, contributing to long-term economic growth. However, small businesses encountered significant compliance challenges, leading to higher operational costs. The reforms also caused short-term disruptions, particularly in the manufacturing and trade sectors. While GST is viewed as a crucial step toward a more efficient tax system, its uneven impact across various industries and the informal sector presents ongoing challenges to achieving balanced and equitable economic growth.</w:t>
      </w:r>
    </w:p>
    <w:p>
      <w:pPr>
        <w:pStyle w:val="Heading 3"/>
        <w:rPr>
          <w:rFonts w:ascii="Arial" w:cs="Arial" w:hAnsi="Arial" w:eastAsia="Arial"/>
        </w:rPr>
      </w:pPr>
    </w:p>
    <w:p>
      <w:pPr>
        <w:pStyle w:val="Heading 3"/>
        <w:rPr>
          <w:rFonts w:ascii="Arial" w:cs="Arial" w:hAnsi="Arial" w:eastAsia="Arial"/>
        </w:rPr>
      </w:pPr>
    </w:p>
    <w:p>
      <w:pPr>
        <w:pStyle w:val="Heading 3"/>
        <w:rPr>
          <w:rFonts w:ascii="Arial" w:cs="Arial" w:hAnsi="Arial" w:eastAsia="Arial"/>
        </w:rPr>
      </w:pPr>
      <w:r>
        <w:rPr>
          <w:rFonts w:ascii="Arial" w:hAnsi="Arial"/>
          <w:rtl w:val="0"/>
          <w:lang w:val="en-US"/>
        </w:rPr>
        <w:t>Iteration 2</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 xml:space="preserve">: </w:t>
      </w:r>
    </w:p>
    <w:p>
      <w:pPr>
        <w:pStyle w:val="Normal (Web)"/>
        <w:rPr>
          <w:rFonts w:ascii="Arial" w:cs="Arial" w:hAnsi="Arial" w:eastAsia="Arial"/>
        </w:rPr>
      </w:pPr>
      <w:r>
        <w:rPr>
          <w:rFonts w:ascii="Arial" w:hAnsi="Arial"/>
          <w:rtl w:val="0"/>
          <w:lang w:val="en-US"/>
        </w:rPr>
        <w:t>Research on India's 2022 GST reforms shows both benefits and drawbacks. The reforms simplified taxation and boosted government revenue but posed compliance challenges for small businesses, leading to higher costs. While the reforms disrupted certain sectors, they are recognized for promoting long-term economic growth and formalizing the economy.</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p>
    <w:p>
      <w:pPr>
        <w:pStyle w:val="Default"/>
        <w:bidi w:val="0"/>
        <w:spacing w:before="0" w:after="240"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Research on India's 2022 GST reforms highlights both advantages and challenges. The reforms simplified the tax system, increased government revenue, and promoted the formalization of the economy, contributing to long-term growth potential. However, small businesses faced significant compliance challenges, resulting in higher operational costs. The reforms also led to short-term disruptions, especially in sectors like manufacturing and trade, causing uneven impacts across industries. Despite these challenges, GST is seen as a critical step toward a more efficient and transparent tax system, though achieving balanced economic growth remains a challenge due to its varied effects on different sectors.</w:t>
      </w:r>
    </w:p>
    <w:p>
      <w:pPr>
        <w:pStyle w:val="Heading 3"/>
      </w:pPr>
      <w:r>
        <w:rPr>
          <w:rFonts w:ascii="Arial" w:hAnsi="Arial"/>
          <w:rtl w:val="0"/>
          <w:lang w:val="en-US"/>
        </w:rPr>
        <w:t>Final Prompt</w:t>
      </w:r>
    </w:p>
    <w:p>
      <w:pPr>
        <w:pStyle w:val="Normal (Web)"/>
        <w:rPr>
          <w:rFonts w:ascii="Arial" w:cs="Arial" w:hAnsi="Arial" w:eastAsia="Arial"/>
        </w:rPr>
      </w:pPr>
      <w:r>
        <w:rPr>
          <w:rFonts w:ascii="Arial" w:hAnsi="Arial"/>
          <w:b w:val="1"/>
          <w:bCs w:val="1"/>
          <w:rtl w:val="0"/>
          <w:lang w:val="en-US"/>
        </w:rPr>
        <w:t>Description (50 words max)</w:t>
      </w:r>
      <w:r>
        <w:rPr>
          <w:rFonts w:ascii="Arial" w:hAnsi="Arial"/>
          <w:rtl w:val="0"/>
          <w:lang w:val="en-US"/>
        </w:rPr>
        <w:t xml:space="preserve">: </w:t>
      </w:r>
      <w:r>
        <w:rPr>
          <w:rFonts w:ascii="Arial" w:hAnsi="Arial"/>
          <w:rtl w:val="0"/>
          <w:lang w:val="en-US"/>
        </w:rPr>
        <w:t xml:space="preserve"> </w:t>
      </w:r>
    </w:p>
    <w:p>
      <w:pPr>
        <w:pStyle w:val="Normal (Web)"/>
        <w:rPr>
          <w:rFonts w:ascii="Arial" w:cs="Arial" w:hAnsi="Arial" w:eastAsia="Arial"/>
        </w:rPr>
      </w:pPr>
      <w:r>
        <w:rPr>
          <w:rFonts w:ascii="Arial" w:hAnsi="Arial"/>
          <w:rtl w:val="0"/>
          <w:lang w:val="en-US"/>
        </w:rPr>
        <w:t>Research on India's 2022 GST reforms reveals both positive impacts and challenges. While the reforms simplified taxation and increased revenue, they also imposed compliance burdens on small businesses and disrupted certain sectors. Despite these issues, the reforms are recognized for promoting long-term growth and economic formalization.</w:t>
      </w:r>
    </w:p>
    <w:p>
      <w:pPr>
        <w:pStyle w:val="Normal (Web)"/>
        <w:rPr>
          <w:rFonts w:ascii="Arial" w:cs="Arial" w:hAnsi="Arial" w:eastAsia="Arial"/>
        </w:rPr>
      </w:pPr>
      <w:r>
        <w:rPr>
          <w:rFonts w:ascii="Arial" w:hAnsi="Arial"/>
          <w:b w:val="1"/>
          <w:bCs w:val="1"/>
          <w:rtl w:val="0"/>
          <w:lang w:val="en-US"/>
        </w:rPr>
        <w:t>Generated Summary (100 words max)</w:t>
      </w:r>
      <w:r>
        <w:rPr>
          <w:rFonts w:ascii="Arial" w:hAnsi="Arial"/>
          <w:rtl w:val="0"/>
          <w:lang w:val="en-US"/>
        </w:rPr>
        <w:t xml:space="preserve">: </w:t>
      </w:r>
    </w:p>
    <w:p>
      <w:pPr>
        <w:pStyle w:val="Normal (Web)"/>
        <w:rPr>
          <w:rFonts w:ascii="Arial" w:cs="Arial" w:hAnsi="Arial" w:eastAsia="Arial"/>
        </w:rPr>
      </w:pPr>
      <w:r>
        <w:rPr>
          <w:rFonts w:ascii="Arial" w:hAnsi="Arial"/>
          <w:rtl w:val="0"/>
          <w:lang w:val="en-US"/>
        </w:rPr>
        <w:t>Research on India's 2022 GST reforms highlights both benefits and challenges. The reforms simplified the tax system, increased government revenue, and promoted the formalization of the economy, contributing to long-term growth potential. However, small businesses faced significant compliance challenges, leading to higher operational costs. The reforms also caused short-term disruptions, particularly in the manufacturing and trade sectors, resulting in uneven impacts across industries. Despite these challenges, GST is viewed as a critical step toward a more efficient and transparent tax system, although achieving balanced economic growth remains difficult due to its varied effects on different sectors.</w:t>
      </w:r>
    </w:p>
    <w:p>
      <w:pPr>
        <w:pStyle w:val="Heading 3"/>
        <w:rPr>
          <w:rFonts w:ascii="Arial" w:cs="Arial" w:hAnsi="Arial" w:eastAsia="Arial"/>
        </w:rPr>
      </w:pPr>
      <w:r>
        <w:rPr>
          <w:rFonts w:ascii="Arial" w:hAnsi="Arial"/>
          <w:rtl w:val="0"/>
          <w:lang w:val="en-US"/>
        </w:rPr>
        <w:t>Insights and Applications</w:t>
      </w:r>
    </w:p>
    <w:p>
      <w:pPr>
        <w:pStyle w:val="Normal (Web)"/>
        <w:rPr>
          <w:rFonts w:ascii="Arial" w:cs="Arial" w:hAnsi="Arial" w:eastAsia="Arial"/>
        </w:rPr>
      </w:pPr>
      <w:r>
        <w:rPr>
          <w:rFonts w:ascii="Arial" w:hAnsi="Arial"/>
          <w:b w:val="1"/>
          <w:bCs w:val="1"/>
          <w:rtl w:val="0"/>
          <w:lang w:val="en-US"/>
        </w:rPr>
        <w:t>Key Insights (150 words max)</w:t>
      </w:r>
      <w:r>
        <w:rPr>
          <w:rFonts w:ascii="Arial" w:hAnsi="Arial"/>
          <w:rtl w:val="0"/>
          <w:lang w:val="en-US"/>
        </w:rPr>
        <w:t xml:space="preserve">: </w:t>
      </w:r>
    </w:p>
    <w:p>
      <w:pPr>
        <w:pStyle w:val="Default"/>
        <w:bidi w:val="0"/>
        <w:spacing w:before="0" w:after="240"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Key insights from the research on India's 2022 GST reforms include: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Increased Revenue and Formalization</w:t>
      </w:r>
      <w:r>
        <w:rPr>
          <w:rFonts w:ascii="Times Roman" w:hAnsi="Times Roman"/>
          <w:shd w:val="clear" w:color="auto" w:fill="ffffff"/>
          <w:rtl w:val="0"/>
        </w:rPr>
        <w:t xml:space="preserve">: </w:t>
      </w:r>
      <w:r>
        <w:rPr>
          <w:rFonts w:ascii="Arial" w:hAnsi="Arial"/>
          <w:shd w:val="clear" w:color="auto" w:fill="ffffff"/>
          <w:rtl w:val="0"/>
          <w:lang w:val="en-US"/>
        </w:rPr>
        <w:t>The reforms have successfully increased government revenue and encouraged the formalization of the economy, contributing to long-term economic growth.</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Simplified Taxation</w:t>
      </w:r>
      <w:r>
        <w:rPr>
          <w:rFonts w:ascii="Times Roman" w:hAnsi="Times Roman"/>
          <w:shd w:val="clear" w:color="auto" w:fill="ffffff"/>
          <w:rtl w:val="0"/>
        </w:rPr>
        <w:t xml:space="preserve">: </w:t>
      </w:r>
      <w:r>
        <w:rPr>
          <w:rFonts w:ascii="Arial" w:hAnsi="Arial"/>
          <w:shd w:val="clear" w:color="auto" w:fill="ffffff"/>
          <w:rtl w:val="0"/>
          <w:lang w:val="en-US"/>
        </w:rPr>
        <w:t>The new GST structure has streamlined the tax system, making it more efficient and transparent.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Compliance Challenges for Small Businesses</w:t>
      </w:r>
      <w:r>
        <w:rPr>
          <w:rFonts w:ascii="Times Roman" w:hAnsi="Times Roman"/>
          <w:shd w:val="clear" w:color="auto" w:fill="ffffff"/>
          <w:rtl w:val="0"/>
        </w:rPr>
        <w:t>:</w:t>
      </w:r>
      <w:r>
        <w:rPr>
          <w:rFonts w:ascii="Arial" w:hAnsi="Arial"/>
          <w:shd w:val="clear" w:color="auto" w:fill="ffffff"/>
          <w:rtl w:val="0"/>
          <w:lang w:val="en-US"/>
        </w:rPr>
        <w:t xml:space="preserve"> Small businesses have faced significant challenges in adapting to the new GST requirements, resulting in higher operational costs and administrative burdens.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Short-Term Disruptions</w:t>
      </w:r>
      <w:r>
        <w:rPr>
          <w:rFonts w:ascii="Times Roman" w:hAnsi="Times Roman"/>
          <w:shd w:val="clear" w:color="auto" w:fill="ffffff"/>
          <w:rtl w:val="0"/>
        </w:rPr>
        <w:t xml:space="preserve">: </w:t>
      </w:r>
      <w:r>
        <w:rPr>
          <w:rFonts w:ascii="Arial" w:hAnsi="Arial"/>
          <w:shd w:val="clear" w:color="auto" w:fill="ffffff"/>
          <w:rtl w:val="0"/>
          <w:lang w:val="en-US"/>
        </w:rPr>
        <w:t>The transition period saw disruptions in sectors like manufacturing and trade, affecting supply chains and business operations.</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b w:val="1"/>
          <w:bCs w:val="1"/>
          <w:shd w:val="clear" w:color="auto" w:fill="ffffff"/>
          <w:rtl w:val="0"/>
          <w:lang w:val="fr-FR"/>
        </w:rPr>
        <w:t>Uneven Sectoral Impact</w:t>
      </w:r>
      <w:r>
        <w:rPr>
          <w:rFonts w:ascii="Times Roman" w:hAnsi="Times Roman"/>
          <w:shd w:val="clear" w:color="auto" w:fill="ffffff"/>
          <w:rtl w:val="0"/>
        </w:rPr>
        <w:t xml:space="preserve">: </w:t>
      </w:r>
      <w:r>
        <w:rPr>
          <w:rFonts w:ascii="Arial" w:hAnsi="Arial"/>
          <w:shd w:val="clear" w:color="auto" w:fill="ffffff"/>
          <w:rtl w:val="0"/>
          <w:lang w:val="en-US"/>
        </w:rPr>
        <w:t>While some sectors benefited from the reforms, others experienced setbacks, highlighting the need for targeted support measures to mitigate adverse effects.</w:t>
      </w:r>
    </w:p>
    <w:p>
      <w:pPr>
        <w:pStyle w:val="Default"/>
        <w:bidi w:val="0"/>
        <w:spacing w:before="0" w:after="240" w:line="240" w:lineRule="auto"/>
        <w:ind w:left="0" w:right="0" w:firstLine="0"/>
        <w:jc w:val="left"/>
        <w:rPr>
          <w:rFonts w:ascii="Arial" w:cs="Arial" w:hAnsi="Arial" w:eastAsia="Arial"/>
          <w:shd w:val="clear" w:color="auto" w:fill="ffffff"/>
          <w:rtl w:val="0"/>
        </w:rPr>
      </w:pPr>
      <w:r>
        <w:rPr>
          <w:rFonts w:ascii="Arial" w:hAnsi="Arial"/>
          <w:shd w:val="clear" w:color="auto" w:fill="ffffff"/>
          <w:rtl w:val="0"/>
          <w:lang w:val="en-US"/>
        </w:rPr>
        <w:t>Overall, the GST reforms are a step toward modernization, but their varied impacts suggest a need for ongoing adjustments and support.</w:t>
      </w:r>
    </w:p>
    <w:p>
      <w:pPr>
        <w:pStyle w:val="Normal (Web)"/>
        <w:rPr>
          <w:rFonts w:ascii="Arial" w:cs="Arial" w:hAnsi="Arial" w:eastAsia="Arial"/>
        </w:rPr>
      </w:pPr>
      <w:r>
        <w:rPr>
          <w:rFonts w:ascii="Arial" w:hAnsi="Arial"/>
          <w:b w:val="1"/>
          <w:bCs w:val="1"/>
          <w:rtl w:val="0"/>
          <w:lang w:val="en-US"/>
        </w:rPr>
        <w:t>Potential Applications (150 words max)</w:t>
      </w:r>
      <w:r>
        <w:rPr>
          <w:rFonts w:ascii="Arial" w:hAnsi="Arial"/>
          <w:rtl w:val="0"/>
          <w:lang w:val="en-US"/>
        </w:rPr>
        <w:t xml:space="preserve">: </w:t>
      </w: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The findings from the research on India's 2022 GST reforms suggest several potential applications and implications: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Policy Refinement</w:t>
      </w:r>
      <w:r>
        <w:rPr>
          <w:rFonts w:ascii="Times Roman" w:hAnsi="Times Roman"/>
          <w:rtl w:val="0"/>
        </w:rPr>
        <w:t xml:space="preserve">: </w:t>
      </w:r>
      <w:r>
        <w:rPr>
          <w:rFonts w:ascii="Arial" w:hAnsi="Arial"/>
          <w:rtl w:val="0"/>
          <w:lang w:val="en-US"/>
        </w:rPr>
        <w:t>The insights can guide policymakers in refining GST regulations to address compliance challenges faced by small businesses and mitigate sector-specific disruptions.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Support Programs</w:t>
      </w:r>
      <w:r>
        <w:rPr>
          <w:rFonts w:ascii="Times Roman" w:hAnsi="Times Roman"/>
          <w:rtl w:val="0"/>
        </w:rPr>
        <w:t xml:space="preserve">: </w:t>
      </w:r>
      <w:r>
        <w:rPr>
          <w:rFonts w:ascii="Arial" w:hAnsi="Arial"/>
          <w:rtl w:val="0"/>
          <w:lang w:val="en-US"/>
        </w:rPr>
        <w:t>Targeted support programs and training can be developed to assist small businesses in adapting to the new tax system, reducing their operational burden.</w:t>
      </w:r>
    </w:p>
    <w:p>
      <w:pPr>
        <w:pStyle w:val="Default"/>
        <w:numPr>
          <w:ilvl w:val="0"/>
          <w:numId w:val="4"/>
        </w:numPr>
        <w:bidi w:val="0"/>
        <w:spacing w:before="0" w:after="240" w:line="240" w:lineRule="auto"/>
        <w:ind w:right="0"/>
        <w:jc w:val="left"/>
        <w:rPr>
          <w:rFonts w:ascii="Times Roman" w:hAnsi="Times Roman"/>
          <w:rtl w:val="0"/>
        </w:rPr>
      </w:pPr>
      <w:r>
        <w:rPr>
          <w:rFonts w:ascii="Times Roman" w:hAnsi="Times Roman"/>
          <w:b w:val="1"/>
          <w:bCs w:val="1"/>
          <w:rtl w:val="0"/>
        </w:rPr>
        <w:t>Sectoral Strategies</w:t>
      </w:r>
      <w:r>
        <w:rPr>
          <w:rFonts w:ascii="Times Roman" w:hAnsi="Times Roman"/>
          <w:rtl w:val="0"/>
        </w:rPr>
        <w:t>:</w:t>
      </w:r>
      <w:r>
        <w:rPr>
          <w:rFonts w:ascii="Arial" w:hAnsi="Arial"/>
          <w:rtl w:val="0"/>
          <w:lang w:val="en-US"/>
        </w:rPr>
        <w:t xml:space="preserve"> Industry-specific strategies can be implemented to address the uneven impacts of GST, ensuring more equitable economic benefits across different sectors.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Long-Term Planning</w:t>
      </w:r>
      <w:r>
        <w:rPr>
          <w:rFonts w:ascii="Times Roman" w:hAnsi="Times Roman"/>
          <w:rtl w:val="0"/>
        </w:rPr>
        <w:t xml:space="preserve">: </w:t>
      </w:r>
      <w:r>
        <w:rPr>
          <w:rFonts w:ascii="Arial" w:hAnsi="Arial"/>
          <w:rtl w:val="0"/>
          <w:lang w:val="en-US"/>
        </w:rPr>
        <w:t>Businesses and government agencies can use the findings to plan for long-term growth, leveraging the increased transparency and formalization of the economy.</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Research and Monitoring</w:t>
      </w:r>
      <w:r>
        <w:rPr>
          <w:rFonts w:ascii="Times Roman" w:hAnsi="Times Roman"/>
          <w:rtl w:val="0"/>
        </w:rPr>
        <w:t xml:space="preserve">: </w:t>
      </w:r>
      <w:r>
        <w:rPr>
          <w:rFonts w:ascii="Arial" w:hAnsi="Arial"/>
          <w:rtl w:val="0"/>
          <w:lang w:val="en-US"/>
        </w:rPr>
        <w:t>Continuous research and monitoring of GST's effects can provide data-driven insights for future policy adjustments and improvements.</w:t>
      </w: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These applications aim to enhance the effectiveness of GST reforms and promote balanced economic development.</w:t>
      </w:r>
    </w:p>
    <w:p>
      <w:pPr>
        <w:pStyle w:val="Heading 3"/>
        <w:rPr>
          <w:rFonts w:ascii="Arial" w:cs="Arial" w:hAnsi="Arial" w:eastAsia="Arial"/>
        </w:rPr>
      </w:pPr>
      <w:r>
        <w:rPr>
          <w:rFonts w:ascii="Arial" w:hAnsi="Arial"/>
          <w:rtl w:val="0"/>
          <w:lang w:val="en-US"/>
        </w:rPr>
        <w:t>Evaluation</w:t>
      </w:r>
    </w:p>
    <w:p>
      <w:pPr>
        <w:pStyle w:val="Normal (Web)"/>
        <w:rPr>
          <w:rFonts w:ascii="Arial" w:cs="Arial" w:hAnsi="Arial" w:eastAsia="Arial"/>
        </w:rPr>
      </w:pPr>
      <w:r>
        <w:rPr>
          <w:rFonts w:ascii="Arial" w:hAnsi="Arial"/>
          <w:b w:val="1"/>
          <w:bCs w:val="1"/>
          <w:rtl w:val="0"/>
          <w:lang w:val="en-US"/>
        </w:rPr>
        <w:t>Clarity</w:t>
      </w:r>
      <w:r>
        <w:rPr>
          <w:rFonts w:ascii="Arial" w:hAnsi="Arial"/>
          <w:rtl w:val="0"/>
          <w:lang w:val="en-US"/>
        </w:rPr>
        <w:t xml:space="preserve">: </w:t>
      </w:r>
      <w:r>
        <w:rPr>
          <w:rFonts w:ascii="Arial" w:hAnsi="Arial"/>
          <w:rtl w:val="0"/>
          <w:lang w:val="en-US"/>
        </w:rPr>
        <w:t>The final summary and insights clearly outline the key impacts of India's GST reforms, detailing both positive outcomes and challenges. The language is precise and effectively conveys the complexities of the reforms, making the findings accessible and understandable.</w:t>
      </w:r>
    </w:p>
    <w:p>
      <w:pPr>
        <w:pStyle w:val="Normal (Web)"/>
        <w:rPr>
          <w:rFonts w:ascii="Arial" w:cs="Arial" w:hAnsi="Arial" w:eastAsia="Arial"/>
        </w:rPr>
      </w:pPr>
      <w:r>
        <w:rPr>
          <w:rFonts w:ascii="Arial" w:hAnsi="Arial"/>
          <w:b w:val="1"/>
          <w:bCs w:val="1"/>
          <w:rtl w:val="0"/>
          <w:lang w:val="en-US"/>
        </w:rPr>
        <w:t>Accuracy</w:t>
      </w:r>
      <w:r>
        <w:rPr>
          <w:rFonts w:ascii="Arial" w:hAnsi="Arial"/>
          <w:rtl w:val="0"/>
          <w:lang w:val="en-US"/>
        </w:rPr>
        <w:t>: The summary and insights accurately reflect the research findings, highlighting the benefits of increased revenue and formalization, as well as the challenges faced by small businesses and specific sectors. The assessment aligns well with observed impacts and provides a balanced view.</w:t>
      </w:r>
    </w:p>
    <w:p>
      <w:pPr>
        <w:pStyle w:val="Normal (Web)"/>
        <w:rPr>
          <w:rFonts w:ascii="Arial" w:cs="Arial" w:hAnsi="Arial" w:eastAsia="Arial"/>
        </w:rPr>
      </w:pPr>
      <w:r>
        <w:rPr>
          <w:rFonts w:ascii="Arial" w:hAnsi="Arial"/>
          <w:b w:val="1"/>
          <w:bCs w:val="1"/>
          <w:rtl w:val="0"/>
          <w:lang w:val="en-US"/>
        </w:rPr>
        <w:t>Relevance</w:t>
      </w:r>
      <w:r>
        <w:rPr>
          <w:rFonts w:ascii="Arial" w:hAnsi="Arial"/>
          <w:rtl w:val="0"/>
          <w:lang w:val="en-US"/>
        </w:rPr>
        <w:t>: The insights and applications are highly relevant, addressing current issues related to the GST reforms. They offer practical implications for policymakers and businesses, focusing on refining policies, providing support, and ensuring balanced economic development.</w:t>
      </w:r>
    </w:p>
    <w:p>
      <w:pPr>
        <w:pStyle w:val="Normal (Web)"/>
        <w:rPr>
          <w:rFonts w:ascii="Arial" w:cs="Arial" w:hAnsi="Arial" w:eastAsia="Arial"/>
        </w:rPr>
      </w:pPr>
    </w:p>
    <w:p>
      <w:pPr>
        <w:pStyle w:val="Normal (Web)"/>
        <w:rPr>
          <w:rFonts w:ascii="Arial" w:cs="Arial" w:hAnsi="Arial" w:eastAsia="Arial"/>
          <w:b w:val="0"/>
          <w:bCs w:val="0"/>
        </w:rPr>
      </w:pPr>
      <w:r>
        <w:rPr>
          <w:rFonts w:ascii="Arial" w:hAnsi="Arial"/>
          <w:b w:val="1"/>
          <w:bCs w:val="1"/>
          <w:rtl w:val="0"/>
          <w:lang w:val="en-US"/>
        </w:rPr>
        <w:t>Reflection</w:t>
      </w:r>
      <w:r>
        <w:rPr>
          <w:rFonts w:ascii="Arial" w:hAnsi="Arial"/>
          <w:b w:val="1"/>
          <w:bCs w:val="1"/>
          <w:rtl w:val="0"/>
          <w:lang w:val="en-US"/>
        </w:rPr>
        <w:t>:</w:t>
      </w:r>
      <w:r>
        <w:rPr>
          <w:rFonts w:ascii="Arial" w:hAnsi="Arial"/>
          <w:b w:val="1"/>
          <w:bCs w:val="1"/>
          <w:rtl w:val="0"/>
          <w:lang w:val="en-US"/>
        </w:rPr>
        <w:t xml:space="preserve"> </w:t>
      </w:r>
      <w:r>
        <w:rPr>
          <w:rFonts w:ascii="Arial" w:hAnsi="Arial"/>
          <w:b w:val="0"/>
          <w:bCs w:val="0"/>
          <w:rtl w:val="0"/>
          <w:lang w:val="en-US"/>
        </w:rPr>
        <w:t>The process of analyzing the economic impact of India's GST reforms has been both enlightening and challenging. Initially, understanding the full scope of the reforms and their varied impacts on different sectors required careful consideration of diverse data sources. The key challenge was balancing the summary of complex economic effects with concise, clear language that could be easily understood.</w:t>
      </w: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One significant insight gained is the importance of nuanced analysis when evaluating policy changes. While the GST reforms have led to increased revenue and economic formalization, they have also introduced compliance challenges and sector-specific disruptions. This duality underscores the need for targeted support measures and ongoing policy adjustments.</w:t>
      </w:r>
    </w:p>
    <w:p>
      <w:pPr>
        <w:pStyle w:val="Default"/>
        <w:bidi w:val="0"/>
        <w:spacing w:before="0" w:after="240" w:line="240" w:lineRule="auto"/>
        <w:ind w:left="0" w:right="0" w:firstLine="0"/>
        <w:jc w:val="left"/>
        <w:rPr>
          <w:rFonts w:ascii="Arial" w:cs="Arial" w:hAnsi="Arial" w:eastAsia="Arial"/>
          <w:rtl w:val="0"/>
        </w:rPr>
      </w:pPr>
      <w:r>
        <w:rPr>
          <w:rFonts w:ascii="Arial" w:hAnsi="Arial"/>
          <w:rtl w:val="0"/>
          <w:lang w:val="en-US"/>
        </w:rPr>
        <w:t>Additionally, the exercise highlighted the value of iterative refinement in crafting clear and accurate summaries. Each version of the summary provided deeper insights into the reforms' impacts, demonstrating the importance of iterative review in producing effective policy analysis.</w:t>
      </w:r>
    </w:p>
    <w:p>
      <w:pPr>
        <w:pStyle w:val="Default"/>
        <w:bidi w:val="0"/>
        <w:spacing w:before="0" w:after="240" w:line="240" w:lineRule="auto"/>
        <w:ind w:left="0" w:right="0" w:firstLine="0"/>
        <w:jc w:val="left"/>
        <w:rPr>
          <w:rtl w:val="0"/>
        </w:rPr>
      </w:pPr>
      <w:r>
        <w:rPr>
          <w:rFonts w:ascii="Arial" w:hAnsi="Arial"/>
          <w:rtl w:val="0"/>
          <w:lang w:val="en-US"/>
        </w:rPr>
        <w:t>Overall, this experience reinforced the importance of thorough, nuanced analysis in evaluating policy impacts and the need for continuous research and adaptation in policy implementation.</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333333"/>
      <w:spacing w:val="0"/>
      <w:kern w:val="36"/>
      <w:position w:val="0"/>
      <w:sz w:val="48"/>
      <w:szCs w:val="48"/>
      <w:u w:val="none" w:color="333333"/>
      <w:shd w:val="nil" w:color="auto" w:fill="auto"/>
      <w:vertAlign w:val="baseline"/>
      <w:lang w:val="en-US"/>
      <w14:textOutline>
        <w14:noFill/>
      </w14:textOutline>
      <w14:textFill>
        <w14:solidFill>
          <w14:srgbClr w14:val="333333"/>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36"/>
      <w:szCs w:val="36"/>
      <w:u w:val="none" w:color="333333"/>
      <w:shd w:val="nil" w:color="auto" w:fill="auto"/>
      <w:vertAlign w:val="baseline"/>
      <w:lang w:val="en-US"/>
      <w14:textOutline>
        <w14:noFill/>
      </w14:textOutline>
      <w14:textFill>
        <w14:solidFill>
          <w14:srgbClr w14:val="333333"/>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7"/>
      <w:szCs w:val="27"/>
      <w:u w:val="none" w:color="333333"/>
      <w:shd w:val="nil" w:color="auto" w:fill="auto"/>
      <w:vertAlign w:val="baseline"/>
      <w:lang w:val="en-US"/>
      <w14:textOutline>
        <w14:noFill/>
      </w14:textOutline>
      <w14:textFill>
        <w14:solidFill>
          <w14:srgbClr w14:val="333333"/>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Numbered.0">
    <w:name w:val="Numbered.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