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jc w:val="center"/>
      </w:pPr>
      <w:r>
        <w:rPr>
          <w:b/>
        </w:rPr>
        <w:t xml:space="preserve">ISHGA TUSHISH TOKINI (I_kr) TOPISH METODIKASI</w:t>
      </w:r>
    </w:p>
    <w:p>
      <w:pPr>
        <w:jc w:val="center"/>
      </w:pPr>
      <w:r>
        <w:rPr>
          <w:i/>
        </w:rPr>
        <w:t xml:space="preserve">Yuklanishdan himoya bosqichi uchun ishga tushish tokini asoslash</w:t>
      </w:r>
    </w:p>
    <w:p>
      <w:pPr>
        <w:jc w:val="center"/>
      </w:pPr>
      <w:r>
        <w:rPr>
          <w:i/>
        </w:rPr>
        <w:t xml:space="preserve">AVM-MP mikroprotsessorli himoya qurilmasi</w:t>
      </w:r>
    </w:p>
    <w:p>
      <w:pPr/>
      <w:r>
        <w:t xml:space="preserve"/>
      </w:r>
    </w:p>
    <w:p>
      <w:pPr>
        <w:pStyle w:val="Heading1"/>
      </w:pPr>
      <w:r>
        <w:t xml:space="preserve">1. To'liq formula</w:t>
      </w:r>
    </w:p>
    <w:p>
      <w:pPr/>
      <w:r>
        <w:t xml:space="preserve">Yuklanishdan himoya bosqichida ishga tushish toki I_kr maksimal tok himoyasining (МТЗ - максимальная токовая защита) klassik formulasi bo'yicha aniqlanadi. Bu formula ishga tushish tokini nominal (ishchi) tokdan ishonchli zaxira bilan ajratish (otstroyka) tamoyiliga asoslanadi:</w:t>
      </w:r>
    </w:p>
    <w:p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i"/>
                </m:rPr>
                <w:rPr>
                  <w:rFonts w:ascii="Cambria Math" w:hAnsi="Cambria Math"/>
                  <w:sz w:val="28"/>
                </w:rPr>
                <m:t xml:space="preserve">k_nad . k_szp</m:t>
              </m:r>
            </m:num>
            <m:den>
              <m:r>
                <m:rPr>
                  <m:sty m:val="i"/>
                </m:rPr>
                <w:rPr>
                  <w:rFonts w:ascii="Cambria Math" w:hAnsi="Cambria Math"/>
                  <w:sz w:val="28"/>
                </w:rPr>
                <m:t xml:space="preserve">k_v</m:t>
              </m:r>
            </m:den>
          </m:f>
          <m:r>
            <m:rPr>
              <m:sty m:val="i"/>
            </m:rPr>
            <w:rPr>
              <w:rFonts w:ascii="Cambria Math" w:hAnsi="Cambria Math"/>
              <w:sz w:val="28"/>
            </w:rPr>
            <m:t xml:space="preserve"> . I_nom</m:t>
          </m:r>
        </m:oMath>
      </m:oMathPara>
    </w:p>
    <w:p>
      <w:pPr/>
      <w:r>
        <w:t xml:space="preserve">Chiziqli ko'rinishda: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I_kr = (k_nad x k_szp / k_v) x I_nom</w:t>
      </w:r>
    </w:p>
    <w:p>
      <w:pPr>
        <w:pStyle w:val="Heading1"/>
      </w:pPr>
      <w:r>
        <w:t xml:space="preserve">2. Formula belgilarining ma'nosi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00"/>
        <w:gridCol w:w="3200"/>
        <w:gridCol w:w="1400"/>
        <w:gridCol w:w="3000"/>
      </w:tblGrid>
      <w:tr>
        <w:trPr>
          <w:tblHeader/>
        </w:trPr>
        <w:tc>
          <w:tcPr>
            <w:tcW w:w="14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Belgi</w:t>
            </w:r>
          </w:p>
        </w:tc>
        <w:tc>
          <w:tcPr>
            <w:tcW w:w="32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Ma'nosi</w:t>
            </w:r>
          </w:p>
        </w:tc>
        <w:tc>
          <w:tcPr>
            <w:tcW w:w="14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Qiymat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Tanlash asosi</w:t>
            </w:r>
          </w:p>
        </w:tc>
      </w:tr>
      <w:tr>
        <w:tc>
          <w:tcPr>
            <w:tcW w:w="1400" w:type="dxa"/>
          </w:tcPr>
          <w:p>
            <w:r>
              <w:t xml:space="preserve">I_kr</w:t>
            </w:r>
          </w:p>
        </w:tc>
        <w:tc>
          <w:tcPr>
            <w:tcW w:w="3200" w:type="dxa"/>
          </w:tcPr>
          <w:p>
            <w:r>
              <w:t xml:space="preserve">Ishga tushish (kritik) toki</w:t>
            </w:r>
          </w:p>
        </w:tc>
        <w:tc>
          <w:tcPr>
            <w:tcW w:w="1400" w:type="dxa"/>
          </w:tcPr>
          <w:p>
            <w:r>
              <w:t xml:space="preserve">topiladi</w:t>
            </w:r>
          </w:p>
        </w:tc>
        <w:tc>
          <w:tcPr>
            <w:tcW w:w="3000" w:type="dxa"/>
          </w:tcPr>
          <w:p>
            <w:r>
              <w:t xml:space="preserve">Hisoblanadi</w:t>
            </w:r>
          </w:p>
        </w:tc>
      </w:tr>
      <w:tr>
        <w:tc>
          <w:tcPr>
            <w:tcW w:w="1400" w:type="dxa"/>
          </w:tcPr>
          <w:p>
            <w:r>
              <w:t xml:space="preserve">I_nom</w:t>
            </w:r>
          </w:p>
        </w:tc>
        <w:tc>
          <w:tcPr>
            <w:tcW w:w="3200" w:type="dxa"/>
          </w:tcPr>
          <w:p>
            <w:r>
              <w:t xml:space="preserve">Nominal (ishchi) tok</w:t>
            </w:r>
          </w:p>
        </w:tc>
        <w:tc>
          <w:tcPr>
            <w:tcW w:w="1400" w:type="dxa"/>
          </w:tcPr>
          <w:p>
            <w:r>
              <w:t xml:space="preserve">5 A</w:t>
            </w:r>
          </w:p>
        </w:tc>
        <w:tc>
          <w:tcPr>
            <w:tcW w:w="3000" w:type="dxa"/>
          </w:tcPr>
          <w:p>
            <w:r>
              <w:t xml:space="preserve">Loyiha qiymati</w:t>
            </w:r>
          </w:p>
        </w:tc>
      </w:tr>
      <w:tr>
        <w:tc>
          <w:tcPr>
            <w:tcW w:w="1400" w:type="dxa"/>
          </w:tcPr>
          <w:p>
            <w:r>
              <w:t xml:space="preserve">k_nad</w:t>
            </w:r>
          </w:p>
        </w:tc>
        <w:tc>
          <w:tcPr>
            <w:tcW w:w="3200" w:type="dxa"/>
          </w:tcPr>
          <w:p>
            <w:r>
              <w:t xml:space="preserve">Ishonchlilik koeffitsiyenti</w:t>
            </w:r>
          </w:p>
        </w:tc>
        <w:tc>
          <w:tcPr>
            <w:tcW w:w="1400" w:type="dxa"/>
          </w:tcPr>
          <w:p>
            <w:r>
              <w:t xml:space="preserve">1,2</w:t>
            </w:r>
          </w:p>
        </w:tc>
        <w:tc>
          <w:tcPr>
            <w:tcW w:w="3000" w:type="dxa"/>
          </w:tcPr>
          <w:p>
            <w:r>
              <w:t xml:space="preserve">Yolg'on ishlamaslik zaxirasi</w:t>
            </w:r>
          </w:p>
        </w:tc>
      </w:tr>
      <w:tr>
        <w:tc>
          <w:tcPr>
            <w:tcW w:w="1400" w:type="dxa"/>
          </w:tcPr>
          <w:p>
            <w:r>
              <w:t xml:space="preserve">k_szp</w:t>
            </w:r>
          </w:p>
        </w:tc>
        <w:tc>
          <w:tcPr>
            <w:tcW w:w="3200" w:type="dxa"/>
          </w:tcPr>
          <w:p>
            <w:r>
              <w:t xml:space="preserve">O'z-o'zidan ishga tushish koeff.</w:t>
            </w:r>
          </w:p>
        </w:tc>
        <w:tc>
          <w:tcPr>
            <w:tcW w:w="1400" w:type="dxa"/>
          </w:tcPr>
          <w:p>
            <w:r>
              <w:t xml:space="preserve">1,0</w:t>
            </w:r>
          </w:p>
        </w:tc>
        <w:tc>
          <w:tcPr>
            <w:tcW w:w="3000" w:type="dxa"/>
          </w:tcPr>
          <w:p>
            <w:r>
              <w:t xml:space="preserve">Motor yuki yo'q -&gt; 1,0</w:t>
            </w:r>
          </w:p>
        </w:tc>
      </w:tr>
      <w:tr>
        <w:tc>
          <w:tcPr>
            <w:tcW w:w="1400" w:type="dxa"/>
          </w:tcPr>
          <w:p>
            <w:r>
              <w:t xml:space="preserve">k_v</w:t>
            </w:r>
          </w:p>
        </w:tc>
        <w:tc>
          <w:tcPr>
            <w:tcW w:w="3200" w:type="dxa"/>
          </w:tcPr>
          <w:p>
            <w:r>
              <w:t xml:space="preserve">Qaytish koeffitsiyenti</w:t>
            </w:r>
          </w:p>
        </w:tc>
        <w:tc>
          <w:tcPr>
            <w:tcW w:w="1400" w:type="dxa"/>
          </w:tcPr>
          <w:p>
            <w:r>
              <w:t xml:space="preserve">0,96</w:t>
            </w:r>
          </w:p>
        </w:tc>
        <w:tc>
          <w:tcPr>
            <w:tcW w:w="3000" w:type="dxa"/>
          </w:tcPr>
          <w:p>
            <w:r>
              <w:t xml:space="preserve">Raqamli rele (ESP32)</w:t>
            </w:r>
          </w:p>
        </w:tc>
      </w:tr>
    </w:tbl>
    <w:p/>
    <w:p>
      <w:pPr>
        <w:pStyle w:val="Heading2"/>
      </w:pPr>
      <w:r>
        <w:t xml:space="preserve">2.1. k_nad - ishonchlilik koeffitsiyenti</w:t>
      </w:r>
    </w:p>
    <w:p>
      <w:pPr/>
      <w:r>
        <w:t xml:space="preserve">Himoya normal ishchi tokda ishlamasligi, lekin undan biroz yuqorida ishonchli ishga tushishi uchun zaxira. Manbalarga ko'ra k_nad = 1,1...1,2 oralig'ida olinadi. AVM-MP uchun yuqori chegara (1,2) tanlandi - bu ko'proq ishonchlilik beradi.</w:t>
      </w:r>
    </w:p>
    <w:p>
      <w:pPr>
        <w:pStyle w:val="Heading2"/>
      </w:pPr>
      <w:r>
        <w:t xml:space="preserve">2.2. k_szp - o'z-o'zidan ishga tushish koeffitsiyenti</w:t>
      </w:r>
    </w:p>
    <w:p>
      <w:pPr/>
      <w:r>
        <w:t xml:space="preserve">Bu koeffitsiyent zanjirda elektr dvigatellar bo'lganda, ular birvarakayiga ishga tushganda yuzaga keladigan tok sakrashini hisobga oladi. Yo'l transformatori zanjirida bunday dvigatel yuki bo'lmagani uchun k_szp = 1,0 qabul qilinadi.</w:t>
      </w:r>
    </w:p>
    <w:p>
      <w:pPr>
        <w:pStyle w:val="Heading2"/>
      </w:pPr>
      <w:r>
        <w:t xml:space="preserve">2.3. k_v - qaytish koeffitsiyenti (nega kerak?)</w:t>
      </w:r>
    </w:p>
    <w:p>
      <w:pPr/>
      <w:r>
        <w:t xml:space="preserve">Himoyada ikkita chegara mavjud: ishga tushish toki (himoya yoqiladi) va qaytish toki (himoya o'chadi, normal holatga qaytadi). Bu ikki tok bir xil emas - qaytish toki har doim biroz pastroq. Ularning nisbati qaytish koeffitsiyenti deyiladi:</w:t>
      </w:r>
    </w:p>
    <w:p>
      <w:pPr>
        <w:jc w:val="center"/>
      </w:pPr>
      <m:oMathPara>
        <m:oMath>
          <m:r>
            <m:rPr>
              <m:sty m:val="i"/>
            </m:rPr>
            <w:rPr>
              <w:rFonts w:ascii="Cambria Math" w:hAnsi="Cambria Math"/>
              <w:sz w:val="28"/>
            </w:rPr>
            <m:t xml:space="preserve">k_v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i"/>
                </m:rPr>
                <w:rPr>
                  <w:rFonts w:ascii="Cambria Math" w:hAnsi="Cambria Math"/>
                  <w:sz w:val="28"/>
                </w:rPr>
                <m:t xml:space="preserve">I_qaytish</m:t>
              </m:r>
            </m:num>
            <m:den>
              <m:r>
                <m:rPr>
                  <m:sty m:val="i"/>
                </m:rPr>
                <w:rPr>
                  <w:rFonts w:ascii="Cambria Math" w:hAnsi="Cambria Math"/>
                  <w:sz w:val="28"/>
                </w:rPr>
                <m:t xml:space="preserve">I_ishga_tushish</m:t>
              </m:r>
            </m:den>
          </m:f>
        </m:oMath>
      </m:oMathPara>
    </w:p>
    <w:p>
      <w:pPr/>
      <w:r>
        <w:t xml:space="preserve">Agar tok vaqtincha ko'tarilib, keyin yana normalga qaytsa, himoya ishonchli o'chishi kerak. Buni kafolatlash uchun ishga tushish toki biroz balandroq olinadi - shuning uchun k_v formulada maxrajda turadi. Eski elektromexanik releda k_v = 0,85, zamonaviy raqamli releda esa k_v = 0,96...0,98 (deyarli ideal). Bu raqamli qurilmaning afzalligi - himoyani sezgirroq sozlash imkonini beradi.</w:t>
      </w:r>
    </w:p>
    <w:p>
      <w:pPr>
        <w:pStyle w:val="Heading1"/>
      </w:pPr>
      <w:r>
        <w:t xml:space="preserve">3. Hisoblash (5 A nominal tok misolida)</w:t>
      </w:r>
    </w:p>
    <w:p>
      <w:pPr/>
      <w:r>
        <w:t xml:space="preserve">3.1-qadam. Qiymatlarni formulaga qo'yamiz:</w:t>
      </w:r>
    </w:p>
    <w:p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i"/>
                </m:rPr>
                <w:rPr>
                  <w:rFonts w:ascii="Cambria Math" w:hAnsi="Cambria Math"/>
                  <w:sz w:val="28"/>
                </w:rPr>
                <m:t xml:space="preserve">1,2 . 1,0</m:t>
              </m:r>
            </m:num>
            <m:den>
              <m:r>
                <m:rPr>
                  <m:sty m:val="i"/>
                </m:rPr>
                <w:rPr>
                  <w:rFonts w:ascii="Cambria Math" w:hAnsi="Cambria Math"/>
                  <w:sz w:val="28"/>
                </w:rPr>
                <m:t xml:space="preserve">0,96</m:t>
              </m:r>
            </m:den>
          </m:f>
          <m:r>
            <m:rPr>
              <m:sty m:val="i"/>
            </m:rPr>
            <w:rPr>
              <w:rFonts w:ascii="Cambria Math" w:hAnsi="Cambria Math"/>
              <w:sz w:val="28"/>
            </w:rPr>
            <m:t xml:space="preserve"> . 5 A</m:t>
          </m:r>
        </m:oMath>
      </m:oMathPara>
    </w:p>
    <w:p>
      <w:pPr/>
      <w:r>
        <w:t xml:space="preserve">3.2-qadam. Avval koeffitsiyentlarni hisoblaymiz: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1,2 x 1,0 = 1,2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1,2 / 0,96 = 1,25</w:t>
      </w:r>
    </w:p>
    <w:p>
      <w:pPr/>
      <w:r>
        <w:t xml:space="preserve">3.3-qadam. Natijani nominal tokka ko'paytiramiz: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I_kr = 1,25 x 5 A = 6,25 A</w:t>
      </w:r>
    </w:p>
    <w:p>
      <w:pPr>
        <w:pStyle w:val="Heading1"/>
      </w:pPr>
      <w:r>
        <w:t xml:space="preserve">4. Natija</w:t>
      </w:r>
    </w:p>
    <w:p>
      <w:pPr/>
      <w:r>
        <w:rPr>
          <w:b/>
        </w:rPr>
        <w:t xml:space="preserve">Yuklanishdan himoya bosqichining ishga tushish toki: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I_kr = 1,25 x I_nom = 6,25 A</w:t>
      </w:r>
    </w:p>
    <w:p>
      <w:pPr/>
      <w:r>
        <w:rPr>
          <w:b/>
        </w:rPr>
        <w:t xml:space="preserve">Ya'ni, zanjir toki 6,25 A dan oshganda yuklanishdan himoya bosqichi ishga tushadi (va inversion vaqt tavsifi bo'yicha hisob boshlanadi).</w:t>
      </w:r>
    </w:p>
    <w:p>
      <w:pPr>
        <w:pStyle w:val="Heading1"/>
      </w:pPr>
      <w:r>
        <w:t xml:space="preserve">5. Barcha nominal toklar uchun I_kr qiymatlari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Nominal tok I_nom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Koeffitsiyent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Ishga tushish toki I_kr</w:t>
            </w:r>
          </w:p>
        </w:tc>
      </w:tr>
      <w:tr>
        <w:tc>
          <w:tcPr>
            <w:tcW w:w="3000" w:type="dxa"/>
          </w:tcPr>
          <w:p>
            <w:r>
              <w:t xml:space="preserve">3 A</w:t>
            </w:r>
          </w:p>
        </w:tc>
        <w:tc>
          <w:tcPr>
            <w:tcW w:w="3000" w:type="dxa"/>
          </w:tcPr>
          <w:p>
            <w:r>
              <w:t xml:space="preserve">1,25</w:t>
            </w:r>
          </w:p>
        </w:tc>
        <w:tc>
          <w:tcPr>
            <w:tcW w:w="3000" w:type="dxa"/>
          </w:tcPr>
          <w:p>
            <w:r>
              <w:t xml:space="preserve">3,75 A</w:t>
            </w:r>
          </w:p>
        </w:tc>
      </w:tr>
      <w:tr>
        <w:tc>
          <w:tcPr>
            <w:tcW w:w="3000" w:type="dxa"/>
          </w:tcPr>
          <w:p>
            <w:r>
              <w:t xml:space="preserve">5 A</w:t>
            </w:r>
          </w:p>
        </w:tc>
        <w:tc>
          <w:tcPr>
            <w:tcW w:w="3000" w:type="dxa"/>
          </w:tcPr>
          <w:p>
            <w:r>
              <w:t xml:space="preserve">1,25</w:t>
            </w:r>
          </w:p>
        </w:tc>
        <w:tc>
          <w:tcPr>
            <w:tcW w:w="3000" w:type="dxa"/>
          </w:tcPr>
          <w:p>
            <w:r>
              <w:t xml:space="preserve">6,25 A</w:t>
            </w:r>
          </w:p>
        </w:tc>
      </w:tr>
      <w:tr>
        <w:tc>
          <w:tcPr>
            <w:tcW w:w="3000" w:type="dxa"/>
          </w:tcPr>
          <w:p>
            <w:r>
              <w:t xml:space="preserve">7,5 A</w:t>
            </w:r>
          </w:p>
        </w:tc>
        <w:tc>
          <w:tcPr>
            <w:tcW w:w="3000" w:type="dxa"/>
          </w:tcPr>
          <w:p>
            <w:r>
              <w:t xml:space="preserve">1,25</w:t>
            </w:r>
          </w:p>
        </w:tc>
        <w:tc>
          <w:tcPr>
            <w:tcW w:w="3000" w:type="dxa"/>
          </w:tcPr>
          <w:p>
            <w:r>
              <w:t xml:space="preserve">9,4 A</w:t>
            </w:r>
          </w:p>
        </w:tc>
      </w:tr>
      <w:tr>
        <w:tc>
          <w:tcPr>
            <w:tcW w:w="3000" w:type="dxa"/>
          </w:tcPr>
          <w:p>
            <w:r>
              <w:t xml:space="preserve">10 A</w:t>
            </w:r>
          </w:p>
        </w:tc>
        <w:tc>
          <w:tcPr>
            <w:tcW w:w="3000" w:type="dxa"/>
          </w:tcPr>
          <w:p>
            <w:r>
              <w:t xml:space="preserve">1,25</w:t>
            </w:r>
          </w:p>
        </w:tc>
        <w:tc>
          <w:tcPr>
            <w:tcW w:w="3000" w:type="dxa"/>
          </w:tcPr>
          <w:p>
            <w:r>
              <w:t xml:space="preserve">12,5 A</w:t>
            </w:r>
          </w:p>
        </w:tc>
      </w:tr>
      <w:tr>
        <w:tc>
          <w:tcPr>
            <w:tcW w:w="3000" w:type="dxa"/>
          </w:tcPr>
          <w:p>
            <w:r>
              <w:t xml:space="preserve">15 A</w:t>
            </w:r>
          </w:p>
        </w:tc>
        <w:tc>
          <w:tcPr>
            <w:tcW w:w="3000" w:type="dxa"/>
          </w:tcPr>
          <w:p>
            <w:r>
              <w:t xml:space="preserve">1,25</w:t>
            </w:r>
          </w:p>
        </w:tc>
        <w:tc>
          <w:tcPr>
            <w:tcW w:w="3000" w:type="dxa"/>
          </w:tcPr>
          <w:p>
            <w:r>
              <w:t xml:space="preserve">18,75 A</w:t>
            </w:r>
          </w:p>
        </w:tc>
      </w:tr>
    </w:tbl>
    <w:p/>
    <w:p>
      <w:pPr>
        <w:pStyle w:val="Heading1"/>
      </w:pPr>
      <w:r>
        <w:t xml:space="preserve">6. 1,25 koeffitsiyentining qo'shimcha asoslari</w:t>
      </w:r>
    </w:p>
    <w:p>
      <w:pPr/>
      <w:r>
        <w:t xml:space="preserve">1,25 qiymati ikki tomonlama asoslangan. Birinchidan, yuqoridagi МТЗ formulasidan (k_nad/k_v = 1,2/0,96 = 1,25) kelib chiqadi. Ikkinchidan, klassik AVM-2 qurilmasining ma'lumotnomasi (Сороко, 2.4-band) qurilma quyidagi yuklarda uzilmasligini ko'rsatadi: 3 A da 1,3.Iн, 5-10 A da 1,4.Iн, 15 A da 1,2.Iн. Eng kichik chegara 1,2.Iн bo'lib, 1,25.Iн qiymati AVM-2 bilan moslikni saqlaydi va barcha nominal toklar uchun universal ishonchli qiymat hisoblanadi.</w:t>
      </w:r>
    </w:p>
    <w:p>
      <w:pPr>
        <w:pStyle w:val="Heading1"/>
      </w:pPr>
      <w:r>
        <w:t xml:space="preserve">Foydalanilgan manbalar</w:t>
      </w:r>
    </w:p>
    <w:p>
      <w:pPr/>
      <w:r>
        <w:t xml:space="preserve">1. Чернобровов Н.В. Релейная защита: Учебное пособие для техникумов. - 5-е изд. - М.: Энергия, 1974. - «Максимальная токовая защита» bobi.</w:t>
      </w:r>
    </w:p>
    <w:p>
      <w:pPr/>
      <w:r>
        <w:t xml:space="preserve">2. Шабад М.А. Расчёты релейной защиты и автоматики распределительных сетей. - Л.: Энергоатомиздат.</w:t>
      </w:r>
    </w:p>
    <w:p>
      <w:pPr/>
      <w:r>
        <w:t xml:space="preserve">3. Федосеев А.М. Релейная защита электроэнергетических систем. - М.: Энергоатомиздат.</w:t>
      </w:r>
    </w:p>
    <w:p>
      <w:pPr/>
      <w:r>
        <w:t xml:space="preserve">4. Сороко В.И., Фотькина Ж.В. Аппаратура железнодорожной автоматики и телемеханики: Справочник. Кн.3. - М.: НПФ «ПЛАНЕТА», 2013. - 2.4-band.</w:t>
      </w:r>
    </w:p>
    <w:p>
      <w:pPr/>
      <w:r>
        <w:t xml:space="preserve">5. Правила устройства электроустановок (ПУЭ). - Релейная защита bo'limi.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line="360" w:lineRule="auto"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30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sz w:val="26"/>
    </w:rPr>
  </w:style>
  <w:style w:type="paragraph" w:styleId="Formula">
    <w:name w:val="Formula"/>
    <w:basedOn w:val="Normal"/>
    <w:pPr>
      <w:jc w:val="center"/>
      <w:spacing w:before="120" w:after="120"/>
    </w:pPr>
    <w:rPr>
      <w:rFonts w:ascii="Cambria Math" w:hAnsi="Cambria Math"/>
      <w:i/>
      <w:sz w:val="28"/>
    </w:rPr>
  </w:style>
  <w:style w:type="table" w:styleId="TableGrid">
    <w:name w:val="Table Grid"/>
    <w:basedOn w:val="TableNormal"/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