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both"/>
      </w:pPr>
      <w:r>
        <w:rPr>
          <w:rFonts w:ascii="Calibri" w:cs="Calibri" w:eastAsia="Calibri" w:hAnsi="Calibri"/>
          <w:b/>
          <w:bCs/>
          <w:i w:val="false"/>
          <w:iCs w:val="false"/>
          <w:color w:val="000000"/>
          <w:sz w:val="24"/>
          <w:szCs w:val="24"/>
        </w:rPr>
        <w:t xml:space="preserve">Maria Polychroniadou</w:t>
      </w:r>
    </w:p>
    <w:p>
      <w:pPr>
        <w:spacing w:after="60" w:line="276"/>
        <w:jc w:val="both"/>
      </w:pPr>
      <w:r>
        <w:rPr>
          <w:rFonts w:ascii="Calibri" w:cs="Calibri" w:eastAsia="Calibri" w:hAnsi="Calibri"/>
          <w:b w:val="false"/>
          <w:bCs w:val="false"/>
          <w:i w:val="false"/>
          <w:iCs w:val="false"/>
          <w:color w:val="555555"/>
          <w:sz w:val="20"/>
          <w:szCs w:val="20"/>
        </w:rPr>
        <w:t xml:space="preserve">Masterstudentin, Data Analytics in Accounting and Finance</w:t>
      </w:r>
    </w:p>
    <w:p>
      <w:pPr>
        <w:spacing w:after="60" w:line="276"/>
        <w:jc w:val="both"/>
      </w:pPr>
      <w:r>
        <w:rPr>
          <w:rFonts w:ascii="Calibri" w:cs="Calibri" w:eastAsia="Calibri" w:hAnsi="Calibri"/>
          <w:b w:val="false"/>
          <w:bCs w:val="false"/>
          <w:i w:val="false"/>
          <w:iCs w:val="false"/>
          <w:color w:val="555555"/>
          <w:sz w:val="20"/>
          <w:szCs w:val="20"/>
        </w:rPr>
        <w:t xml:space="preserve">European University Cyprus</w:t>
      </w:r>
    </w:p>
    <w:p>
      <w:pPr>
        <w:spacing w:after="60" w:line="276"/>
        <w:jc w:val="both"/>
      </w:pPr>
      <w:r>
        <w:rPr>
          <w:rFonts w:ascii="Calibri" w:cs="Calibri" w:eastAsia="Calibri" w:hAnsi="Calibri"/>
          <w:b w:val="false"/>
          <w:bCs w:val="false"/>
          <w:i w:val="false"/>
          <w:iCs w:val="false"/>
          <w:color w:val="555555"/>
          <w:sz w:val="20"/>
          <w:szCs w:val="20"/>
        </w:rPr>
        <w:t xml:space="preserve">Kirchweg 11, 52428 Jülich</w:t>
      </w:r>
    </w:p>
    <w:p>
      <w:pPr>
        <w:spacing w:after="200" w:line="276"/>
        <w:jc w:val="both"/>
      </w:pPr>
      <w:r>
        <w:rPr>
          <w:rFonts w:ascii="Calibri" w:cs="Calibri" w:eastAsia="Calibri" w:hAnsi="Calibri"/>
          <w:b w:val="false"/>
          <w:bCs w:val="false"/>
          <w:i w:val="false"/>
          <w:iCs w:val="false"/>
          <w:color w:val="555555"/>
          <w:sz w:val="20"/>
          <w:szCs w:val="20"/>
        </w:rPr>
        <w:t xml:space="preserve">maria.polychroniadou@gmx.de  |  +49 171 5694895</w:t>
      </w:r>
    </w:p>
    <w:p>
      <w:pPr>
        <w:spacing w:after="200" w:line="276"/>
        <w:jc w:val="both"/>
      </w:pPr>
      <w:r>
        <w:rPr>
          <w:rFonts w:ascii="Calibri" w:cs="Calibri" w:eastAsia="Calibri" w:hAnsi="Calibri"/>
          <w:b w:val="false"/>
          <w:bCs w:val="false"/>
          <w:i w:val="false"/>
          <w:iCs w:val="false"/>
          <w:color w:val="000000"/>
          <w:sz w:val="22"/>
          <w:szCs w:val="22"/>
        </w:rPr>
        <w:t xml:space="preserve">Herbst 2026</w:t>
      </w:r>
    </w:p>
    <w:p>
      <w:pPr>
        <w:spacing w:after="60" w:line="276"/>
        <w:jc w:val="both"/>
      </w:pPr>
      <w:r>
        <w:rPr>
          <w:rFonts w:ascii="Calibri" w:cs="Calibri" w:eastAsia="Calibri" w:hAnsi="Calibri"/>
          <w:b w:val="false"/>
          <w:bCs w:val="false"/>
          <w:i w:val="false"/>
          <w:iCs w:val="false"/>
          <w:color w:val="000000"/>
          <w:sz w:val="22"/>
          <w:szCs w:val="22"/>
        </w:rPr>
        <w:t xml:space="preserve">Studienstiftung des deutschen Volkes</w:t>
      </w:r>
    </w:p>
    <w:p>
      <w:pPr>
        <w:spacing w:after="60" w:line="276"/>
        <w:jc w:val="both"/>
      </w:pPr>
      <w:r>
        <w:rPr>
          <w:rFonts w:ascii="Calibri" w:cs="Calibri" w:eastAsia="Calibri" w:hAnsi="Calibri"/>
          <w:b w:val="false"/>
          <w:bCs w:val="false"/>
          <w:i w:val="false"/>
          <w:iCs w:val="false"/>
          <w:color w:val="000000"/>
          <w:sz w:val="22"/>
          <w:szCs w:val="22"/>
        </w:rPr>
        <w:t xml:space="preserve">Promotionsförderung</w:t>
      </w:r>
    </w:p>
    <w:p>
      <w:pPr>
        <w:spacing w:after="60" w:line="276"/>
        <w:jc w:val="both"/>
      </w:pPr>
      <w:r>
        <w:rPr>
          <w:rFonts w:ascii="Calibri" w:cs="Calibri" w:eastAsia="Calibri" w:hAnsi="Calibri"/>
          <w:b w:val="false"/>
          <w:bCs w:val="false"/>
          <w:i w:val="false"/>
          <w:iCs w:val="false"/>
          <w:color w:val="000000"/>
          <w:sz w:val="22"/>
          <w:szCs w:val="22"/>
        </w:rPr>
        <w:t xml:space="preserve">Ahrstraße 41</w:t>
      </w:r>
    </w:p>
    <w:p>
      <w:pPr>
        <w:spacing w:after="300" w:line="276"/>
        <w:jc w:val="both"/>
      </w:pPr>
      <w:r>
        <w:rPr>
          <w:rFonts w:ascii="Calibri" w:cs="Calibri" w:eastAsia="Calibri" w:hAnsi="Calibri"/>
          <w:b w:val="false"/>
          <w:bCs w:val="false"/>
          <w:i w:val="false"/>
          <w:iCs w:val="false"/>
          <w:color w:val="000000"/>
          <w:sz w:val="22"/>
          <w:szCs w:val="22"/>
        </w:rPr>
        <w:t xml:space="preserve">53175 Bonn</w:t>
      </w:r>
    </w:p>
    <w:p>
      <w:pPr>
        <w:spacing w:after="300" w:line="276"/>
        <w:jc w:val="both"/>
      </w:pPr>
      <w:r>
        <w:rPr>
          <w:rFonts w:ascii="Calibri" w:cs="Calibri" w:eastAsia="Calibri" w:hAnsi="Calibri"/>
          <w:b/>
          <w:bCs/>
          <w:i w:val="false"/>
          <w:iCs w:val="false"/>
          <w:color w:val="000000"/>
          <w:sz w:val="22"/>
          <w:szCs w:val="22"/>
        </w:rPr>
        <w:t xml:space="preserve">Bewerbung um ein Promotionsstipendium</w:t>
      </w:r>
    </w:p>
    <w:p>
      <w:pPr>
        <w:spacing w:after="200" w:line="276"/>
        <w:jc w:val="both"/>
      </w:pPr>
      <w:r>
        <w:rPr>
          <w:rFonts w:ascii="Calibri" w:cs="Calibri" w:eastAsia="Calibri" w:hAnsi="Calibri"/>
          <w:b w:val="false"/>
          <w:bCs w:val="false"/>
          <w:i w:val="false"/>
          <w:iCs w:val="false"/>
          <w:color w:val="000000"/>
          <w:sz w:val="22"/>
          <w:szCs w:val="22"/>
        </w:rPr>
        <w:t xml:space="preserve">Sehr geehrte Damen und Herren,</w:t>
      </w:r>
    </w:p>
    <w:p>
      <w:pPr>
        <w:spacing w:after="200" w:line="276"/>
        <w:jc w:val="both"/>
      </w:pPr>
      <w:r>
        <w:rPr>
          <w:rFonts w:ascii="Calibri" w:cs="Calibri" w:eastAsia="Calibri" w:hAnsi="Calibri"/>
          <w:b w:val="false"/>
          <w:bCs w:val="false"/>
          <w:i w:val="false"/>
          <w:iCs w:val="false"/>
          <w:color w:val="000000"/>
          <w:sz w:val="22"/>
          <w:szCs w:val="22"/>
        </w:rPr>
        <w:t xml:space="preserve">Ein Patient erhält eine Rechnung für eine Behandlung, die er nie erhalten hat — nicht weil jemand betrogen hat, sondern weil zwei Patienten denselben Namen und dasselbe Geburtsdatum tragen und das System es nicht bemerkt hat. Dieser eine Fall hat mich eine Frage stellen lassen, die mich seither nicht mehr loslässt: Wie können strukturelle Fehler in einem System über lange Zeit unentdeckt bleiben — und was wäre notwendig, damit sie es nicht mehr können? Diese Frage ist der Ausgangspunkt meines Promotionsvorhabens.</w:t>
      </w:r>
    </w:p>
    <w:p>
      <w:pPr>
        <w:spacing w:after="200" w:line="276"/>
        <w:jc w:val="both"/>
      </w:pPr>
      <w:r>
        <w:rPr>
          <w:rFonts w:ascii="Calibri" w:cs="Calibri" w:eastAsia="Calibri" w:hAnsi="Calibri"/>
          <w:b w:val="false"/>
          <w:bCs w:val="false"/>
          <w:i w:val="false"/>
          <w:iCs w:val="false"/>
          <w:color w:val="000000"/>
          <w:sz w:val="22"/>
          <w:szCs w:val="22"/>
        </w:rPr>
        <w:t xml:space="preserve">Mein Masterstudium an der European University Cyprus hat mir die methodischen Werkzeuge gegeben, diese Frage wissenschaftlich anzugehen. Im Modul Quantitative Research Methods habe ich mit R programmiert und erfahren, dass Präzision in der Datenanalyse keine Option, sondern eine Voraussetzung ist. Im Modul Advanced International Financial Reporting setze ich mich mit internationalen Rechnungslegungsstandards und den strukturellen Schwächen komplexer Bilanzsysteme auseinander. Dass ich eigenständig forschen kann, habe ich bereits in meiner Bachelorarbeit unter Beweis gestellt: Meine Arbeit über das Potenzial von ChatGPT in der Behandlung chronischer Erkrankungen wurde mit der Note 1,0 bewertet — ein Thema, das die Schnittstelle von KI und Gesundheitsversorgung aus einer anderen Perspektive beleuchtet und mein heutiges Forschungsinteresse direkt vorbereitet hat.</w:t>
      </w:r>
    </w:p>
    <w:p>
      <w:pPr>
        <w:spacing w:after="200" w:line="276"/>
        <w:jc w:val="both"/>
      </w:pPr>
      <w:r>
        <w:rPr>
          <w:rFonts w:ascii="Calibri" w:cs="Calibri" w:eastAsia="Calibri" w:hAnsi="Calibri"/>
          <w:b w:val="false"/>
          <w:bCs w:val="false"/>
          <w:i w:val="false"/>
          <w:iCs w:val="false"/>
          <w:color w:val="000000"/>
          <w:sz w:val="22"/>
          <w:szCs w:val="22"/>
        </w:rPr>
        <w:t xml:space="preserve">Mein Promotionsvorhaben untersucht: Wie verändern KI-gestützte Systeme die Fehlerquoten, die Prozesskontrolle und die Kostenstruktur in der Krankenhausbuchhaltung — und welche Faktoren bestimmen, ob solche Systeme im klinischen Alltag tatsächlich angenommen werden? Die spezifische Forschungslücke: Obwohl KI-Anwendungen im Gesundheitswesen international zunehmend untersucht werden, fehlen bis heute empirische Studien, die sich systematisch mit der Rechnungslegungsebene in Krankenhäusern des östlichen Mittelmeerraums befassen. Zypern und Griechenland weisen dabei besondere strukturelle Merkmale auf — ein hoher Anteil privater Krankenhäuser, heterogene Versicherungslandschaften und ein vergleichsweise geringer Digitalisierungsgrad im administrativen Bereich — die sie zu einem wissenschaftlich relevanten und bisher kaum untersuchten Forschungsfeld machen.</w:t>
      </w:r>
    </w:p>
    <w:p>
      <w:pPr>
        <w:spacing w:after="200" w:line="276"/>
        <w:jc w:val="both"/>
      </w:pPr>
      <w:r>
        <w:rPr>
          <w:rFonts w:ascii="Calibri" w:cs="Calibri" w:eastAsia="Calibri" w:hAnsi="Calibri"/>
          <w:b w:val="false"/>
          <w:bCs w:val="false"/>
          <w:i w:val="false"/>
          <w:iCs w:val="false"/>
          <w:color w:val="000000"/>
          <w:sz w:val="22"/>
          <w:szCs w:val="22"/>
        </w:rPr>
        <w:t xml:space="preserve">Methodisch verfolge ich einen Mixed-Methods-Ansatz: Strukturgleichungsmodellierung (SEM/SmartPLS) auf Basis von Primärdaten aus zwei Partnerinstitutionen — dem American Medical Center Nikosia und dem European Interbalkan Medical Center Thessaloniki — ergänzt durch leitfadengestützte Interviews mit Buchhaltungsverantwortlichen und IT-Fachkräften. Betreut wird das Vorhaben von Prof. Alexios Kythreotis, Associate Professor für Financial Accounting an der European University Cyprus.</w:t>
      </w:r>
    </w:p>
    <w:p>
      <w:pPr>
        <w:spacing w:after="200" w:line="276"/>
        <w:jc w:val="both"/>
      </w:pPr>
      <w:r>
        <w:rPr>
          <w:rFonts w:ascii="Calibri" w:cs="Calibri" w:eastAsia="Calibri" w:hAnsi="Calibri"/>
          <w:b w:val="false"/>
          <w:bCs w:val="false"/>
          <w:i w:val="false"/>
          <w:iCs w:val="false"/>
          <w:color w:val="000000"/>
          <w:sz w:val="22"/>
          <w:szCs w:val="22"/>
        </w:rPr>
        <w:t xml:space="preserve">Theoretisch verankere ich das Vorhaben in zwei etablierten Rahmenwerken: dem Technology Acceptance Model (TAM) nach Davis (1989), das erklärt, unter welchen Bedingungen neue Technologien in Organisationen tatsächlich genutzt werden, und der Institutional Theory, die analysiert, wie externe Normen, Regulierungen und institutionelle Erwartungen die Einführung von KI-Systemen in Krankenhäusern prägen. Diese Kombination erlaubt es mir, sowohl individuelle Akzeptanzbarrieren als auch strukturelle Adoptionshemmnisse empirisch zu erfassen.</w:t>
      </w:r>
    </w:p>
    <w:p>
      <w:pPr>
        <w:spacing w:after="200" w:line="276"/>
        <w:jc w:val="both"/>
      </w:pPr>
      <w:r>
        <w:rPr>
          <w:rFonts w:ascii="Calibri" w:cs="Calibri" w:eastAsia="Calibri" w:hAnsi="Calibri"/>
          <w:b w:val="false"/>
          <w:bCs w:val="false"/>
          <w:i w:val="false"/>
          <w:iCs w:val="false"/>
          <w:color w:val="000000"/>
          <w:sz w:val="22"/>
          <w:szCs w:val="22"/>
        </w:rPr>
        <w:t xml:space="preserve">Um die Praktikabilität meiner Forschungsfrage zu prüfen, habe ich im Vorfeld der Promotion einen ersten funktionierenden Prototypen entwickelt — HealthLedger AI — der zwölf Typen von Abrechnungsfehlern automatisch erkennt und reale Excel-Dateien aus Krankenhausinformationssystemen verarbeitet. Dieser Prototyp dient mir nicht als Produkt, das es zu vermarkten gilt, sondern als empirisches Instrument: Er macht die Forschungsfrage greifbar, ermöglicht erste Hypothesentests und zeigt mir, wo die methodischen Grenzen liegen. Die Dissertation wird diesen Ansatz wissenschaftlich fundieren und kritisch weiterentwickeln.</w:t>
      </w:r>
    </w:p>
    <w:p>
      <w:pPr>
        <w:spacing w:after="200" w:line="276"/>
        <w:jc w:val="both"/>
      </w:pPr>
      <w:r>
        <w:rPr>
          <w:rFonts w:ascii="Calibri" w:cs="Calibri" w:eastAsia="Calibri" w:hAnsi="Calibri"/>
          <w:b w:val="false"/>
          <w:bCs w:val="false"/>
          <w:i w:val="false"/>
          <w:iCs w:val="false"/>
          <w:color w:val="000000"/>
          <w:sz w:val="22"/>
          <w:szCs w:val="22"/>
        </w:rPr>
        <w:t xml:space="preserve">Als Erstakademikerin, die nach einer Hauptschulempfehlung durch eigene Initiative das Abitur erreicht hat, habe ich früh verstanden, dass strukturelle Benachteiligung nicht laut ist — sie ist unsichtbar. Genau diese Unsichtbarkeit interessiert mich als Forscherin: Fehler in der Krankenhausabrechnung entstehen in Systemen, die niemand systematisch beobachtet, und treffen Menschen, die sich am wenigsten dagegen wehren können. Mein ehrenamtliches Engagement bei Terre des Hommes Deutschland und in meiner griechisch-orthodoxen Gemeinde ist Ausdruck derselben Haltung: Ich engagiere mich für Menschen, die ohne Stimme, ohne Lobby und ohne die nötigen Mittel sind, um ihre Interessen zu vertreten. Diese Neugier beschränkt sich nicht auf mein Fachgebiet: Ich lese Kahneman und Kazantzakis mit gleicher Intensität — und als ich verstand, dass Kahnemans Analyse kognitiver Überlastung unter Zeitdruck denselben Mechanismus beschreibt, der Abrechnungsfehler in Krankenhäusern erzeugt, begann ich Python zu lernen, um diesen Zusammenhang empirisch sichtbar zu machen.</w:t>
      </w:r>
    </w:p>
    <w:p>
      <w:pPr>
        <w:spacing w:after="200" w:line="276"/>
        <w:jc w:val="both"/>
      </w:pPr>
      <w:r>
        <w:rPr>
          <w:rFonts w:ascii="Calibri" w:cs="Calibri" w:eastAsia="Calibri" w:hAnsi="Calibri"/>
          <w:b w:val="false"/>
          <w:bCs w:val="false"/>
          <w:i w:val="false"/>
          <w:iCs w:val="false"/>
          <w:color w:val="000000"/>
          <w:sz w:val="22"/>
          <w:szCs w:val="22"/>
        </w:rPr>
        <w:t xml:space="preserve">Das Leitbild der Studienstiftung verbindet besondere Begabung mit besonderer Verantwortung — Verantwortung für andere Menschen und für die Welt, in der wir leben. Diese Verbindung ist für mich keine abstrakte Formulierung, sondern eine konkrete Haltung: Ich forsche, weil ich verstehen will, wie es dazu kommt, dass ein Patient eine falsche Rechnung erhält und sich nicht dagegen wehren kann — und was wissenschaftlich, strukturell und institutionell notwendig wäre, damit das seltener geschieht.</w:t>
      </w:r>
    </w:p>
    <w:p>
      <w:pPr>
        <w:spacing w:after="200" w:line="276"/>
        <w:jc w:val="both"/>
      </w:pPr>
      <w:r>
        <w:rPr>
          <w:rFonts w:ascii="Calibri" w:cs="Calibri" w:eastAsia="Calibri" w:hAnsi="Calibri"/>
          <w:b w:val="false"/>
          <w:bCs w:val="false"/>
          <w:i w:val="false"/>
          <w:iCs w:val="false"/>
          <w:color w:val="000000"/>
          <w:sz w:val="22"/>
          <w:szCs w:val="22"/>
        </w:rPr>
        <w:t xml:space="preserve">Ich bewerbe mich bei der Studienstiftung, weil ich überzeugt bin, dass exzellente Wissenschaft und gesellschaftliche Verantwortung einander bedingen. Dafür brauche ich Zeit, Zugang zu Literatur und die institutionelle Einbettung, die ein Promotionsstipendium der Studienstiftung ermöglicht — um zu verstehen, warum das Problem existiert, wie groß es wirklich ist, und was eine Lösung strukturell erfordern würde.</w:t>
      </w:r>
    </w:p>
    <w:p>
      <w:pPr>
        <w:spacing w:after="300"/>
      </w:pPr>
      <w:r>
        <w:t xml:space="preserve"/>
      </w:r>
    </w:p>
    <w:p>
      <w:pPr>
        <w:spacing w:after="600" w:line="276"/>
        <w:jc w:val="both"/>
      </w:pPr>
      <w:r>
        <w:rPr>
          <w:rFonts w:ascii="Calibri" w:cs="Calibri" w:eastAsia="Calibri" w:hAnsi="Calibri"/>
          <w:b w:val="false"/>
          <w:bCs w:val="false"/>
          <w:i w:val="false"/>
          <w:iCs w:val="false"/>
          <w:color w:val="000000"/>
          <w:sz w:val="22"/>
          <w:szCs w:val="22"/>
        </w:rPr>
        <w:t xml:space="preserve">Mit freundlichen Grüßen,</w:t>
      </w:r>
    </w:p>
    <w:p>
      <w:pPr>
        <w:spacing w:after="60" w:line="276"/>
        <w:jc w:val="both"/>
      </w:pPr>
      <w:r>
        <w:rPr>
          <w:rFonts w:ascii="Calibri" w:cs="Calibri" w:eastAsia="Calibri" w:hAnsi="Calibri"/>
          <w:b/>
          <w:bCs/>
          <w:i w:val="false"/>
          <w:iCs w:val="false"/>
          <w:color w:val="000000"/>
          <w:sz w:val="22"/>
          <w:szCs w:val="22"/>
        </w:rPr>
        <w:t xml:space="preserve">Maria Polychroniadou</w:t>
      </w:r>
    </w:p>
    <w:p>
      <w:pPr>
        <w:spacing w:after="0" w:line="276"/>
        <w:jc w:val="both"/>
      </w:pPr>
      <w:r>
        <w:rPr>
          <w:rFonts w:ascii="Calibri" w:cs="Calibri" w:eastAsia="Calibri" w:hAnsi="Calibri"/>
          <w:b w:val="false"/>
          <w:bCs w:val="false"/>
          <w:i w:val="false"/>
          <w:iCs w:val="false"/>
          <w:color w:val="555555"/>
          <w:sz w:val="20"/>
          <w:szCs w:val="20"/>
        </w:rPr>
        <w:t xml:space="preserve">maria.polychroniadou@gmx.de  |  +49 171 5694895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2026-03-30T11:25:01.475Z</dcterms:created>
  <dcterms:modified xsi:type="dcterms:W3CDTF">2026-03-30T11:25:01.476Z</dcterms:modified>
</cp:coreProperties>
</file>

<file path=docProps/custom.xml><?xml version="1.0" encoding="utf-8"?>
<Properties xmlns="http://schemas.openxmlformats.org/officeDocument/2006/custom-properties" xmlns:vt="http://schemas.openxmlformats.org/officeDocument/2006/docPropsVTypes"/>
</file>