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Customer References for Denali Therapeutics</w:t>
      </w:r>
    </w:p>
    <w:p>
      <w:r>
        <w:t>Relevant AWS case studies and references mapped to Denali's key AI/ML use-cases.</w:t>
      </w:r>
    </w:p>
    <w:p/>
    <w:p>
      <w:pPr>
        <w:pStyle w:val="Heading1"/>
      </w:pPr>
      <w:r>
        <w:t>1. Medical Writing / Regulatory Filing</w:t>
      </w:r>
    </w:p>
    <w:p>
      <w:pPr>
        <w:pStyle w:val="IntenseQuote"/>
      </w:pPr>
      <w:r>
        <w:t>Priority: Highest — September filing deadline</w:t>
      </w:r>
    </w:p>
    <w:p>
      <w:r>
        <w:rPr>
          <w:b/>
          <w:sz w:val="24"/>
        </w:rPr>
        <w:t>DXC FirstPoint RIM.AI</w:t>
      </w:r>
    </w:p>
    <w:p>
      <w:r>
        <w:t>Medical document writing solution powered by Amazon Bedrock, built specifically for regulatory submissions in life sciences.</w:t>
      </w:r>
    </w:p>
    <w:p>
      <w:hyperlink r:id="rId9">
        <w:r>
          <w:rPr>
            <w:color w:val="0563C1"/>
            <w:u w:val="single"/>
          </w:rPr>
          <w:t>View Reference →</w:t>
        </w:r>
      </w:hyperlink>
    </w:p>
    <w:p/>
    <w:p>
      <w:r>
        <w:rPr>
          <w:b/>
          <w:sz w:val="24"/>
        </w:rPr>
        <w:t>Clario — Clinical Research Automation</w:t>
      </w:r>
    </w:p>
    <w:p>
      <w:r>
        <w:t>Automates clinical research analysis and regulatory endpoint data using generative AI on AWS. Has supported 710+ novel drug regulatory approvals.</w:t>
      </w:r>
    </w:p>
    <w:p>
      <w:hyperlink r:id="rId10">
        <w:r>
          <w:rPr>
            <w:color w:val="0563C1"/>
            <w:u w:val="single"/>
          </w:rPr>
          <w:t>View Reference →</w:t>
        </w:r>
      </w:hyperlink>
    </w:p>
    <w:p/>
    <w:p>
      <w:r>
        <w:rPr>
          <w:b/>
          <w:sz w:val="24"/>
        </w:rPr>
        <w:t>AWS Architecture: Clinical Document Analysis</w:t>
      </w:r>
    </w:p>
    <w:p>
      <w:r>
        <w:t>Reference architecture for using generative AI to process and analyze clinical documents for regulatory submissions.</w:t>
      </w:r>
    </w:p>
    <w:p>
      <w:hyperlink r:id="rId11">
        <w:r>
          <w:rPr>
            <w:color w:val="0563C1"/>
            <w:u w:val="single"/>
          </w:rPr>
          <w:t>View Reference →</w:t>
        </w:r>
      </w:hyperlink>
    </w:p>
    <w:p/>
    <w:p>
      <w:r>
        <w:rPr>
          <w:b/>
          <w:sz w:val="24"/>
        </w:rPr>
        <w:t>AWS Marketplace: Gen AI Regulatory Documentation Accelerator</w:t>
      </w:r>
    </w:p>
    <w:p>
      <w:r>
        <w:t>Ready-made solution that automates submission preparation with HIPAA, GxP, and FDA 21 CFR Part 11 compliance.</w:t>
      </w:r>
    </w:p>
    <w:p>
      <w:hyperlink r:id="rId12">
        <w:r>
          <w:rPr>
            <w:color w:val="0563C1"/>
            <w:u w:val="single"/>
          </w:rPr>
          <w:t>View Reference →</w:t>
        </w:r>
      </w:hyperlink>
    </w:p>
    <w:p/>
    <w:p>
      <w:r>
        <w:rPr>
          <w:b/>
          <w:sz w:val="24"/>
        </w:rPr>
        <w:t>Building AI Agents in GxP Environments</w:t>
      </w:r>
    </w:p>
    <w:p>
      <w:r>
        <w:t>AWS guidance on building compliant AI agents for regulated pharma environments.</w:t>
      </w:r>
    </w:p>
    <w:p>
      <w:hyperlink r:id="rId13">
        <w:r>
          <w:rPr>
            <w:color w:val="0563C1"/>
            <w:u w:val="single"/>
          </w:rPr>
          <w:t>View Reference →</w:t>
        </w:r>
      </w:hyperlink>
    </w:p>
    <w:p/>
    <w:p>
      <w:pPr>
        <w:pStyle w:val="Heading1"/>
      </w:pPr>
      <w:r>
        <w:t>2. Genomics / Computational Biology / Imaging</w:t>
      </w:r>
    </w:p>
    <w:p>
      <w:r>
        <w:rPr>
          <w:b/>
          <w:sz w:val="24"/>
        </w:rPr>
        <w:t>Amgen — AWS HealthOmics</w:t>
      </w:r>
    </w:p>
    <w:p>
      <w:r>
        <w:t>Centralized omics analysis pipelines using AWS HealthOmics, cutting costs 25-40% and speeding up cycle times for therapeutics analysis.</w:t>
      </w:r>
    </w:p>
    <w:p>
      <w:hyperlink r:id="rId14">
        <w:r>
          <w:rPr>
            <w:color w:val="0563C1"/>
            <w:u w:val="single"/>
          </w:rPr>
          <w:t>View Reference →</w:t>
        </w:r>
      </w:hyperlink>
    </w:p>
    <w:p/>
    <w:p>
      <w:r>
        <w:rPr>
          <w:b/>
          <w:sz w:val="24"/>
        </w:rPr>
        <w:t>Takeda Pharmaceuticals — Bioinformatics at Scale</w:t>
      </w:r>
    </w:p>
    <w:p>
      <w:r>
        <w:t>Accelerates large-scale bioinformatics with AWS HealthOmics for scale, speed, and data provenance.</w:t>
      </w:r>
    </w:p>
    <w:p>
      <w:hyperlink r:id="rId15">
        <w:r>
          <w:rPr>
            <w:color w:val="0563C1"/>
            <w:u w:val="single"/>
          </w:rPr>
          <w:t>View Reference →</w:t>
        </w:r>
      </w:hyperlink>
    </w:p>
    <w:p/>
    <w:p>
      <w:r>
        <w:rPr>
          <w:b/>
          <w:sz w:val="24"/>
        </w:rPr>
        <w:t>Sonrai — Precision Medicine Research</w:t>
      </w:r>
    </w:p>
    <w:p>
      <w:r>
        <w:t>Accelerated precision medicine research by 50% using AWS generative AI for biomarker discovery and clinical trial analysis.</w:t>
      </w:r>
    </w:p>
    <w:p>
      <w:hyperlink r:id="rId16">
        <w:r>
          <w:rPr>
            <w:color w:val="0563C1"/>
            <w:u w:val="single"/>
          </w:rPr>
          <w:t>View Reference →</w:t>
        </w:r>
      </w:hyperlink>
    </w:p>
    <w:p/>
    <w:p>
      <w:pPr>
        <w:pStyle w:val="Heading1"/>
      </w:pPr>
      <w:r>
        <w:t>3. Commercial Insights (Claims, CRM, Conversational Analytics)</w:t>
      </w:r>
    </w:p>
    <w:p>
      <w:r>
        <w:rPr>
          <w:b/>
          <w:sz w:val="24"/>
        </w:rPr>
        <w:t>Pfizer — PACT Initiative</w:t>
      </w:r>
    </w:p>
    <w:p>
      <w:r>
        <w:t>14 generative AI/ML projects saving scientists 16,000 hours annually and cutting infrastructure costs 55%. Includes data consolidation and insight generation.</w:t>
      </w:r>
    </w:p>
    <w:p>
      <w:hyperlink r:id="rId17">
        <w:r>
          <w:rPr>
            <w:color w:val="0563C1"/>
            <w:u w:val="single"/>
          </w:rPr>
          <w:t>View Reference →</w:t>
        </w:r>
      </w:hyperlink>
    </w:p>
    <w:p/>
    <w:p>
      <w:r>
        <w:rPr>
          <w:b/>
          <w:sz w:val="24"/>
        </w:rPr>
        <w:t>ZS + AWS — Commercial Pharma Q&amp;A</w:t>
      </w:r>
    </w:p>
    <w:p>
      <w:r>
        <w:t>Built a generative AI tool for answering commercial pharma questions, replacing traditional dashboards with a conversational interface. Piloted within 3 months.</w:t>
      </w:r>
    </w:p>
    <w:p>
      <w:hyperlink r:id="rId18">
        <w:r>
          <w:rPr>
            <w:color w:val="0563C1"/>
            <w:u w:val="single"/>
          </w:rPr>
          <w:t>View Reference →</w:t>
        </w:r>
      </w:hyperlink>
    </w:p>
    <w:p/>
    <w:p>
      <w:r>
        <w:rPr>
          <w:b/>
          <w:sz w:val="24"/>
        </w:rPr>
        <w:t>AstraZeneca — Agentic AI for Commercial Operations</w:t>
      </w:r>
    </w:p>
    <w:p>
      <w:r>
        <w:t>Deployed agentic AI across clinical development and commercial operations on AWS, targeting delivery of 20 new medicines by 2030.</w:t>
      </w:r>
    </w:p>
    <w:p>
      <w:hyperlink r:id="rId19">
        <w:r>
          <w:rPr>
            <w:color w:val="0563C1"/>
            <w:u w:val="single"/>
          </w:rPr>
          <w:t>View Reference →</w:t>
        </w:r>
      </w:hyperlink>
    </w:p>
    <w:p/>
    <w:p>
      <w:pPr>
        <w:pStyle w:val="Heading1"/>
      </w:pPr>
      <w:r>
        <w:t>4. Manufacturing SOPs (Internal Data)</w:t>
      </w:r>
    </w:p>
    <w:p>
      <w:r>
        <w:rPr>
          <w:b/>
          <w:sz w:val="24"/>
        </w:rPr>
        <w:t>Hexagon + AWS — SOP Automation</w:t>
      </w:r>
    </w:p>
    <w:p>
      <w:r>
        <w:t>Partnered with AWS PACE team to automate Standard Operating Procedure document workflows using generative AI. Achieved 90%+ accuracy with significant cost reductions. Built on internal/proprietary data — no external tool exposure.</w:t>
      </w:r>
    </w:p>
    <w:p>
      <w:hyperlink r:id="rId20">
        <w:r>
          <w:rPr>
            <w:color w:val="0563C1"/>
            <w:u w:val="single"/>
          </w:rPr>
          <w:t>View Reference →</w:t>
        </w:r>
      </w:hyperlink>
    </w:p>
    <w:p/>
    <w:p>
      <w:pPr>
        <w:pStyle w:val="Heading1"/>
      </w:pPr>
      <w:r>
        <w:t>5. Enterprise Generative AI (Internal Productivity)</w:t>
      </w:r>
    </w:p>
    <w:p>
      <w:r>
        <w:rPr>
          <w:b/>
          <w:sz w:val="24"/>
        </w:rPr>
        <w:t>Alnylam Pharmaceuticals — Amazon Bedrock</w:t>
      </w:r>
    </w:p>
    <w:p>
      <w:r>
        <w:t>Used Amazon Bedrock for an internal generative AI digital assistant for employee productivity, plus a product complaint management solution. Similar biotech size/profile to Denali.</w:t>
      </w:r>
    </w:p>
    <w:p>
      <w:hyperlink r:id="rId21">
        <w:r>
          <w:rPr>
            <w:color w:val="0563C1"/>
            <w:u w:val="single"/>
          </w:rPr>
          <w:t>View Reference →</w:t>
        </w:r>
      </w:hyperlink>
    </w:p>
    <w:p/>
    <w:p>
      <w:r>
        <w:rPr>
          <w:b/>
          <w:sz w:val="24"/>
        </w:rPr>
        <w:t>Merck — Generative AI for Manufacturing Quality</w:t>
      </w:r>
    </w:p>
    <w:p>
      <w:r>
        <w:t>Uses generative AI (GANs, VAEs) on AWS for synthetic defect image data in manufacturing and quality control.</w:t>
      </w:r>
    </w:p>
    <w:p>
      <w:hyperlink r:id="rId22">
        <w:r>
          <w:rPr>
            <w:color w:val="0563C1"/>
            <w:u w:val="single"/>
          </w:rPr>
          <w:t>View Reference →</w:t>
        </w:r>
      </w:hyperlink>
    </w:p>
    <w:p/>
    <w:p>
      <w:pPr>
        <w:pStyle w:val="Heading1"/>
      </w:pPr>
      <w:r>
        <w:t>Key Talking Points</w:t>
      </w:r>
    </w:p>
    <w:p>
      <w:pPr>
        <w:pStyle w:val="ListBullet"/>
      </w:pPr>
      <w:r>
        <w:t>For the September filing deadline, the DXC FirstPoint RIM.AI and the Regulatory Documentation Accelerator on AWS Marketplace are the fastest "speed to value" options since they are already built.</w:t>
      </w:r>
    </w:p>
    <w:p>
      <w:pPr>
        <w:pStyle w:val="ListBullet"/>
      </w:pPr>
      <w:r>
        <w:t>Alnylam is the best peer reference — similar-sized biotech using Bedrock for internal productivity and compliance workflows.</w:t>
      </w:r>
    </w:p>
    <w:p>
      <w:pPr>
        <w:pStyle w:val="ListBullet"/>
      </w:pPr>
      <w:r>
        <w:t>The Hexagon SOP case study directly addresses the manufacturing team's need for AI trained on internal data without external tool exposure.</w:t>
      </w:r>
    </w:p>
    <w:p>
      <w:pPr>
        <w:pStyle w:val="ListBullet"/>
      </w:pPr>
      <w:r>
        <w:t>For the commercial insights use-case (post-launch), the ZS + AWS partnership shows a proven path from Tableau-style dashboards to a conversational AI interface over CRM/claims data.</w:t>
      </w:r>
    </w:p>
    <w:p/>
    <w:p>
      <w:r>
        <w:t>All sources are publicly available AWS case studies and blog posts.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ws.amazon.com/blogs/apn/dxcs-firstpoint-rim-ai-medical-document-writing-solution-powered-by-amazon-bedrock/" TargetMode="External"/><Relationship Id="rId10" Type="http://schemas.openxmlformats.org/officeDocument/2006/relationships/hyperlink" Target="https://aws.amazon.com/blogs/machine-learning/how-clario-automates-clinical-research-analysis-using-generative-ai-on-aws/" TargetMode="External"/><Relationship Id="rId11" Type="http://schemas.openxmlformats.org/officeDocument/2006/relationships/hyperlink" Target="https://aws.amazon.com/blogs/architecture/use-generative-ai-on-aws-for-efficient-clinical-document-analysis/" TargetMode="External"/><Relationship Id="rId12" Type="http://schemas.openxmlformats.org/officeDocument/2006/relationships/hyperlink" Target="https://aws.amazon.com/marketplace/pp/prodview-7ty44wcmz3dda" TargetMode="External"/><Relationship Id="rId13" Type="http://schemas.openxmlformats.org/officeDocument/2006/relationships/hyperlink" Target="https://aws.amazon.com/blogs/machine-learning/a-guide-to-building-ai-agents-in-gxp-environments/" TargetMode="External"/><Relationship Id="rId14" Type="http://schemas.openxmlformats.org/officeDocument/2006/relationships/hyperlink" Target="https://aws.amazon.com/solutions/case-studies/amgen-omics-case-study/" TargetMode="External"/><Relationship Id="rId15" Type="http://schemas.openxmlformats.org/officeDocument/2006/relationships/hyperlink" Target="https://aws.amazon.com/blogs/industries/how-takeda-pharmaceuticals-accelerates-large-scale-bioinformatics-with-aws-healthomics/" TargetMode="External"/><Relationship Id="rId16" Type="http://schemas.openxmlformats.org/officeDocument/2006/relationships/hyperlink" Target="https://aws.amazon.com/solutions/case-studies/case-study-sonrai/" TargetMode="External"/><Relationship Id="rId17" Type="http://schemas.openxmlformats.org/officeDocument/2006/relationships/hyperlink" Target="https://aws.amazon.com/solutions/case-studies/pfizer-PACT-case-study/" TargetMode="External"/><Relationship Id="rId18" Type="http://schemas.openxmlformats.org/officeDocument/2006/relationships/hyperlink" Target="https://www.zs.com/about/case-studies/generative-ai-case-study-for-a-biopharma-company" TargetMode="External"/><Relationship Id="rId19" Type="http://schemas.openxmlformats.org/officeDocument/2006/relationships/hyperlink" Target="https://aws.amazon.com/health/life-sciences/solutions/research-and-development/" TargetMode="External"/><Relationship Id="rId20" Type="http://schemas.openxmlformats.org/officeDocument/2006/relationships/hyperlink" Target="https://aws.amazon.com/blogs/industries/hexagon-automates-manufacturing-standard-operating-procedures-with-aws-generative-ai/" TargetMode="External"/><Relationship Id="rId21" Type="http://schemas.openxmlformats.org/officeDocument/2006/relationships/hyperlink" Target="https://aws.amazon.com/jp/solutions/case-studies/alnylam-case-study/" TargetMode="External"/><Relationship Id="rId22" Type="http://schemas.openxmlformats.org/officeDocument/2006/relationships/hyperlink" Target="https://aws.amazon.com/solutions/case-studies/merck-customer-vide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