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90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53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rPr>
          <w:cantSplit w:val="0"/>
          <w:trHeight w:val="1489.9804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Proxify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-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Proxify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44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06 March 2025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06 March  2025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52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proxify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Dashboard,Plans,invoices,top up,referrals.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Proxify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155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Login,Dashboard,Plans,invoices,top up,referrals etc.).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</w:t>
      </w:r>
      <w:r w:rsidDel="00000000" w:rsidR="00000000" w:rsidRPr="00000000">
        <w:rPr>
          <w:rtl w:val="0"/>
        </w:rPr>
      </w:r>
    </w:p>
    <w:tbl>
      <w:tblPr>
        <w:tblStyle w:val="Table7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 Firefox,Edge) 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&amp; Login</w:t>
      </w:r>
      <w:r w:rsidDel="00000000" w:rsidR="00000000" w:rsidRPr="00000000">
        <w:rPr>
          <w:sz w:val="28"/>
          <w:szCs w:val="28"/>
          <w:rtl w:val="0"/>
        </w:rPr>
        <w:t xml:space="preserve">: Creating accounts and authenticating users.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  <w:r w:rsidDel="00000000" w:rsidR="00000000" w:rsidRPr="00000000">
        <w:rPr>
          <w:sz w:val="28"/>
          <w:szCs w:val="28"/>
          <w:rtl w:val="0"/>
        </w:rPr>
        <w:t xml:space="preserve">: Testing the product Dashboard all functionality.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Plans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Choose a plan that suits your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Invoices: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View and manage your order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Topup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Top up your account balance to purchase proxies,Add funds.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Referrals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Invite your friends and earn rewards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sz w:val="28"/>
          <w:szCs w:val="28"/>
          <w:rtl w:val="0"/>
        </w:rPr>
        <w:t xml:space="preserve">: Verifying UI elements on different screen sizes and devices.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(e.g., registration) perform as expected.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 Browser,tablet).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3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2.854664353397"/>
        <w:gridCol w:w="4732.657146670226"/>
        <w:tblGridChange w:id="0">
          <w:tblGrid>
            <w:gridCol w:w="4292.854664353397"/>
            <w:gridCol w:w="4732.6571466702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06/03/2025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3"/>
        <w:tblW w:w="114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4"/>
        <w:tblW w:w="1108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6390"/>
        <w:tblGridChange w:id="0">
          <w:tblGrid>
            <w:gridCol w:w="4695"/>
            <w:gridCol w:w="63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105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5"/>
        <w:tblW w:w="1149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proxify website.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9"/>
        <w:tblW w:w="11580.0" w:type="dxa"/>
        <w:jc w:val="left"/>
        <w:tblInd w:w="-1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proxify.gg/login" TargetMode="External"/><Relationship Id="rId8" Type="http://schemas.openxmlformats.org/officeDocument/2006/relationships/hyperlink" Target="https://proxify.gg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