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Research Collaborator Honoraria Rider</w:t>
      </w:r>
    </w:p>
    <w:p>
      <w:r>
        <w:rPr>
          <w:b/>
        </w:rPr>
        <w:t>Effective date:</w:t>
      </w:r>
      <w:r>
        <w:t xml:space="preserve"> on countersignature. </w:t>
      </w:r>
      <w:r>
        <w:rPr>
          <w:b/>
        </w:rPr>
        <w:t>Rider to:</w:t>
      </w:r>
      <w:r>
        <w:t xml:space="preserve"> the Master Services or Volunteer Agreement between Birthright Foundation ("Birthright") and the undersigned collaborator ("Collaborator"). Contact: </w:t>
      </w:r>
      <w:r>
        <w:rPr>
          <w:rFonts w:ascii="Consolas" w:hAnsi="Consolas"/>
          <w:sz w:val="20"/>
        </w:rPr>
        <w:t>research@birthright.live</w:t>
      </w:r>
      <w:r>
        <w:t>.</w:t>
      </w:r>
    </w:p>
    <w:p>
      <w:r>
        <w:t xml:space="preserve">This rider governs one-off or periodic honoraria paid to academic, clinical, or lived-experience contributors for research work that is published on </w:t>
      </w:r>
      <w:hyperlink r:id="rId9">
        <w:r>
          <w:rPr>
            <w:color w:val="0563C1"/>
            <w:u w:val="single"/>
          </w:rPr>
          <w:t xml:space="preserve">/research</w:t>
        </w:r>
      </w:hyperlink>
      <w:r>
        <w:t>, cited in Birthright programming, or otherwise integrated into Foundation deliverables.</w:t>
      </w:r>
    </w:p>
    <w:p>
      <w:pPr>
        <w:pStyle w:val="Heading2"/>
      </w:pPr>
      <w:r>
        <w:t>1. Scope</w:t>
      </w:r>
    </w:p>
    <w:p>
      <w:r>
        <w:t>Covers deliverables including but not limited to: draft chapters or sections, literature reviews, peer commentary, expert-panel participation, transcript review, illustrative case notes (de-identified), and one-off editorial passes. Excluded: employment-tenure work, ongoing salaried research (a separate services agreement applies), and clinical services to Birthright members.</w:t>
      </w:r>
    </w:p>
    <w:p>
      <w:pPr>
        <w:pStyle w:val="Heading2"/>
      </w:pPr>
      <w:r>
        <w:t>2. Honoraria</w:t>
      </w:r>
    </w:p>
    <w:p>
      <w:pPr>
        <w:pStyle w:val="ListBullet"/>
      </w:pPr>
      <w:r>
        <w:rPr>
          <w:b/>
        </w:rPr>
        <w:t>Amount.</w:t>
      </w:r>
      <w:r>
        <w:t xml:space="preserve"> Set out in Schedule A, or in the individual engagement letter countersigned by both parties.</w:t>
      </w:r>
    </w:p>
    <w:p>
      <w:pPr>
        <w:pStyle w:val="ListBullet"/>
      </w:pPr>
      <w:r>
        <w:rPr>
          <w:b/>
        </w:rPr>
        <w:t>Tax posture.</w:t>
      </w:r>
      <w:r>
        <w:t xml:space="preserve"> Honoraria are treated as US taxable income to the Collaborator. Birthright issues Form 1099-NEC when annual payments to the Collaborator meet or exceed the IRS reporting threshold. Collaborators outside the US receive gross payment; local tax reporting is the Collaborator's responsibility.</w:t>
      </w:r>
    </w:p>
    <w:p>
      <w:pPr>
        <w:pStyle w:val="ListBullet"/>
      </w:pPr>
      <w:r>
        <w:rPr>
          <w:b/>
        </w:rPr>
        <w:t>Reimbursables.</w:t>
      </w:r>
      <w:r>
        <w:t xml:space="preserve"> Reasonable pre-approved expenses (research materials, travel, database access) are reimbursed against receipt.</w:t>
      </w:r>
    </w:p>
    <w:p>
      <w:pPr>
        <w:pStyle w:val="Heading2"/>
      </w:pPr>
      <w:r>
        <w:t>3. IP Assignment &amp; Licence</w:t>
      </w:r>
    </w:p>
    <w:p>
      <w:pPr>
        <w:pStyle w:val="ListBullet"/>
      </w:pPr>
      <w:r>
        <w:rPr>
          <w:b/>
        </w:rPr>
        <w:t>Newly authored deliverables</w:t>
      </w:r>
      <w:r>
        <w:t xml:space="preserve"> are commissioned as works made for hire under 17 U.S.C. § 101; to the extent any element is not a work made for hire, the Collaborator irrevocably assigns to Birthright all right, title, and interest in that element.</w:t>
      </w:r>
    </w:p>
    <w:p>
      <w:pPr>
        <w:pStyle w:val="ListBullet"/>
      </w:pPr>
      <w:r>
        <w:rPr>
          <w:b/>
        </w:rPr>
        <w:t>Background IP.</w:t>
      </w:r>
      <w:r>
        <w:t xml:space="preserve"> Pre-existing tools, corpora, or IP the Collaborator brings to the engagement remain the Collaborator's property; Birthright receives a worldwide, non-exclusive, royalty-free licence to use it as embedded in the deliverable.</w:t>
      </w:r>
    </w:p>
    <w:p>
      <w:pPr>
        <w:pStyle w:val="ListBullet"/>
      </w:pPr>
      <w:r>
        <w:rPr>
          <w:b/>
        </w:rPr>
        <w:t>Attribution.</w:t>
      </w:r>
      <w:r>
        <w:t xml:space="preserve"> Collaborator receives byline credit on </w:t>
      </w:r>
      <w:r>
        <w:rPr>
          <w:rFonts w:ascii="Consolas" w:hAnsi="Consolas"/>
          <w:sz w:val="20"/>
        </w:rPr>
        <w:t>birthright.live/research</w:t>
      </w:r>
      <w:r>
        <w:t xml:space="preserve"> and in any derivative publication, unless the Collaborator asks in writing to be uncredited.</w:t>
      </w:r>
    </w:p>
    <w:p>
      <w:pPr>
        <w:pStyle w:val="ListBullet"/>
      </w:pPr>
      <w:r>
        <w:rPr>
          <w:b/>
        </w:rPr>
        <w:t>Moral rights</w:t>
      </w:r>
      <w:r>
        <w:t xml:space="preserve"> are waived to the extent permitted by law solely for the purposes of editorial polishing, translation, and format adaptation.</w:t>
      </w:r>
    </w:p>
    <w:p>
      <w:pPr>
        <w:pStyle w:val="Heading2"/>
      </w:pPr>
      <w:r>
        <w:t>4. Confidentiality &amp; Data</w:t>
      </w:r>
    </w:p>
    <w:p>
      <w:pPr>
        <w:pStyle w:val="ListBullet"/>
      </w:pPr>
      <w:r>
        <w:rPr>
          <w:b/>
        </w:rPr>
        <w:t>Confidential information</w:t>
      </w:r>
      <w:r>
        <w:t xml:space="preserve"> exchanged for the engagement is used only for the engagement and returned or destroyed on completion.</w:t>
      </w:r>
    </w:p>
    <w:p>
      <w:pPr>
        <w:pStyle w:val="ListBullet"/>
      </w:pPr>
      <w:r>
        <w:rPr>
          <w:b/>
        </w:rPr>
        <w:t>Human-subject data.</w:t>
      </w:r>
      <w:r>
        <w:t xml:space="preserve"> Any identifiable participant data must be de-identified per HIPAA Safe Harbour before delivery; the Collaborator warrants prior IRB or equivalent ethics-committee coverage.</w:t>
      </w:r>
    </w:p>
    <w:p>
      <w:pPr>
        <w:pStyle w:val="ListBullet"/>
      </w:pPr>
      <w:r>
        <w:rPr>
          <w:b/>
        </w:rPr>
        <w:t>Interview material.</w:t>
      </w:r>
      <w:r>
        <w:t xml:space="preserve"> If the deliverable draws on interviews the Collaborator conducted, the Collaborator warrants informed consent from each interviewee, including a right-to-withdraw window that expired before delivery.</w:t>
      </w:r>
    </w:p>
    <w:p>
      <w:pPr>
        <w:pStyle w:val="Heading2"/>
      </w:pPr>
      <w:r>
        <w:t>5. Publication &amp; Corrections</w:t>
      </w:r>
    </w:p>
    <w:p>
      <w:pPr>
        <w:pStyle w:val="ListBullet"/>
      </w:pPr>
      <w:r>
        <w:t>Birthright edits for house style and length; substantive edits are shared with the Collaborator for review before publication.</w:t>
      </w:r>
    </w:p>
    <w:p>
      <w:pPr>
        <w:pStyle w:val="ListBullet"/>
      </w:pPr>
      <w:r>
        <w:t>Post-publication corrections requested in good faith are issued within a reasonable time, with clear note of the change.</w:t>
      </w:r>
    </w:p>
    <w:p>
      <w:pPr>
        <w:pStyle w:val="Heading2"/>
      </w:pPr>
      <w:r>
        <w:t>6. Warranties &amp; Indemnity</w:t>
      </w:r>
    </w:p>
    <w:p>
      <w:pPr>
        <w:pStyle w:val="ListBullet"/>
      </w:pPr>
      <w:r>
        <w:t>Collaborator warrants that the deliverable is original, non-infringing, and free of undisclosed conflicts of interest.</w:t>
      </w:r>
    </w:p>
    <w:p>
      <w:pPr>
        <w:pStyle w:val="ListBullet"/>
      </w:pPr>
      <w:r>
        <w:t>Each party's liability is capped at the total honoraria paid or payable under this rider, except for a breach of confidentiality, an IP-warranty breach, or gross negligence.</w:t>
      </w:r>
    </w:p>
    <w:p>
      <w:pPr>
        <w:pStyle w:val="Heading2"/>
      </w:pPr>
      <w:r>
        <w:t>7. Termination</w:t>
      </w:r>
    </w:p>
    <w:p>
      <w:r>
        <w:t>Either party may terminate on 14 days' written notice. Pro-rata honoraria are payable for work delivered before termination. Sections 3 (IP), 4 (Confidentiality), 6 (Warranties), and 8 (Governing law) survive termination.</w:t>
      </w:r>
    </w:p>
    <w:p>
      <w:pPr>
        <w:pStyle w:val="Heading2"/>
      </w:pPr>
      <w:r>
        <w:t>8. Governing Law</w:t>
      </w:r>
    </w:p>
    <w:p>
      <w:r>
        <w:t>State of incorporation of Birthright Foundation (to be confirmed post-formation); disputes resolved per the Master Agreement's disputes clause.</w:t>
      </w:r>
    </w:p>
    <w:p>
      <w:pPr>
        <w:pStyle w:val="Heading2"/>
      </w:pPr>
      <w:r>
        <w:t>9. Signatures</w:t>
      </w:r>
    </w:p>
    <w:p>
      <w:r>
        <w:t>Executed by the Collaborator and by an authorised officer of Birthright Foundation on the effective date shown above.</w:t>
      </w:r>
    </w:p>
    <w:p/>
    <w:p>
      <w:pPr>
        <w:pStyle w:val="Heading2"/>
      </w:pPr>
      <w:r>
        <w:t>Schedule A · Honoraria Schedule (default)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Deliverable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Standard honorarium (USD)</w:t>
            </w:r>
          </w:p>
        </w:tc>
      </w:tr>
      <w:tr>
        <w:tc>
          <w:tcPr>
            <w:tcW w:type="dxa" w:w="4680"/>
          </w:tcPr>
          <w:p>
            <w:r/>
            <w:r>
              <w:t>Peer-review pass (up to 5,000 words)</w:t>
            </w:r>
          </w:p>
        </w:tc>
        <w:tc>
          <w:tcPr>
            <w:tcW w:type="dxa" w:w="4680"/>
          </w:tcPr>
          <w:p>
            <w:r/>
            <w:r>
              <w:t>500</w:t>
            </w:r>
          </w:p>
        </w:tc>
      </w:tr>
      <w:tr>
        <w:tc>
          <w:tcPr>
            <w:tcW w:type="dxa" w:w="4680"/>
          </w:tcPr>
          <w:p>
            <w:r/>
            <w:r>
              <w:t>Expert-panel participation (up to 90 min)</w:t>
            </w:r>
          </w:p>
        </w:tc>
        <w:tc>
          <w:tcPr>
            <w:tcW w:type="dxa" w:w="4680"/>
          </w:tcPr>
          <w:p>
            <w:r/>
            <w:r>
              <w:t>500</w:t>
            </w:r>
          </w:p>
        </w:tc>
      </w:tr>
      <w:tr>
        <w:tc>
          <w:tcPr>
            <w:tcW w:type="dxa" w:w="4680"/>
          </w:tcPr>
          <w:p>
            <w:r/>
            <w:r>
              <w:t>Draft chapter or section (2,000–5,000 words)</w:t>
            </w:r>
          </w:p>
        </w:tc>
        <w:tc>
          <w:tcPr>
            <w:tcW w:type="dxa" w:w="4680"/>
          </w:tcPr>
          <w:p>
            <w:r/>
            <w:r>
              <w:t>1,500</w:t>
            </w:r>
          </w:p>
        </w:tc>
      </w:tr>
      <w:tr>
        <w:tc>
          <w:tcPr>
            <w:tcW w:type="dxa" w:w="4680"/>
          </w:tcPr>
          <w:p>
            <w:r/>
            <w:r>
              <w:t>Draft chapter or section (5,001–10,000 words)</w:t>
            </w:r>
          </w:p>
        </w:tc>
        <w:tc>
          <w:tcPr>
            <w:tcW w:type="dxa" w:w="4680"/>
          </w:tcPr>
          <w:p>
            <w:r/>
            <w:r>
              <w:t>3,000</w:t>
            </w:r>
          </w:p>
        </w:tc>
      </w:tr>
      <w:tr>
        <w:tc>
          <w:tcPr>
            <w:tcW w:type="dxa" w:w="4680"/>
          </w:tcPr>
          <w:p>
            <w:r/>
            <w:r>
              <w:t>Literature review (up to 20 sources)</w:t>
            </w:r>
          </w:p>
        </w:tc>
        <w:tc>
          <w:tcPr>
            <w:tcW w:type="dxa" w:w="4680"/>
          </w:tcPr>
          <w:p>
            <w:r/>
            <w:r>
              <w:t>1,000</w:t>
            </w:r>
          </w:p>
        </w:tc>
      </w:tr>
      <w:tr>
        <w:tc>
          <w:tcPr>
            <w:tcW w:type="dxa" w:w="4680"/>
          </w:tcPr>
          <w:p>
            <w:r/>
            <w:r>
              <w:t>Full-manuscript editorial pass</w:t>
            </w:r>
          </w:p>
        </w:tc>
        <w:tc>
          <w:tcPr>
            <w:tcW w:type="dxa" w:w="4680"/>
          </w:tcPr>
          <w:p>
            <w:r/>
            <w:r>
              <w:t>Quote per engagement</w:t>
            </w:r>
          </w:p>
        </w:tc>
      </w:tr>
    </w:tbl>
    <w:p/>
    <w:p>
      <w:r>
        <w:t>Rates above are ceilings; individual engagement letters may set lower amounts where scope is smaller.</w:t>
      </w:r>
    </w:p>
    <w:p/>
    <w:p>
      <w:r>
        <w:t>*First draft — pending counsel ratification. Comments to legal@birthright.live.*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 this document conflicts with mandatory rights of an EU or UK resident, the 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 of individuals in the EEA and UK. Where Birthright is the controller, the lawful bases relied on are: (i) contract necessity, (ii) legitimate interests (balanced by opt-out), (iii) consent (marketing and non-essential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 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 a 14-day right of withdrawal on distance sales of goods and most digital services. Where a workshop or digital product has been fully 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 intermediaries offering services in the EU; Birthright's community features (posts, DMs, disputes) fall within scope. A single point of 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 of AI systems affecting EU users. Birthright's AI features (Help Assistant, image generation, image captioning) are labeled as AI-assisted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 Contractual Clauses (2021/914) and the UK International Data Transfer Addendum, with a transfer-impact assessment on file for each sub-processor.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 once threshold criteria under GDPR Art. 37 are met. Contact: 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 and objection requests are responded to within </w:t>
      </w:r>
      <w:r>
        <w:rPr>
          <w:b/>
        </w:rPr>
        <w:t>30 days</w:t>
      </w:r>
      <w:r>
        <w:t xml:space="preserve"> (extendable 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 their local supervisory authority; a list is available at </w:t>
      </w:r>
      <w:hyperlink r:id="rId10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 </w:t>
      </w:r>
      <w:hyperlink r:id="rId11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 cross applicable thresholds, VAT registration (One-Stop-Shop or country-by-country) will be completed.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rthright.live/research" TargetMode="External"/><Relationship Id="rId10" Type="http://schemas.openxmlformats.org/officeDocument/2006/relationships/hyperlink" Target="https://edpb.europa.eu/about-edpb/about-edpb/members_en" TargetMode="External"/><Relationship Id="rId11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