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88"/>
      </w:pPr>
      <w:r>
        <w:rPr>
          <w:i/>
          <w:color w:val="7C5316"/>
        </w:rPr>
        <w:t>**FIRST DRAFT — PENDING COUNSEL RATIFICATION**</w:t>
      </w:r>
    </w:p>
    <w:p>
      <w:r>
        <w:t>&gt;</w:t>
      </w:r>
    </w:p>
    <w:p>
      <w:pPr>
        <w:ind w:left="288"/>
      </w:pPr>
      <w:r>
        <w:rPr>
          <w:i/>
          <w:color w:val="7C5316"/>
        </w:rPr>
        <w:t>This document is a first draft prepared for outside counsel review.</w:t>
      </w:r>
    </w:p>
    <w:p>
      <w:pPr>
        <w:ind w:left="288"/>
      </w:pPr>
      <w:r>
        <w:rPr>
          <w:i/>
          <w:color w:val="7C5316"/>
        </w:rPr>
        <w:t>It uses accepted standard language for its type and is intended to</w:t>
      </w:r>
    </w:p>
    <w:p>
      <w:pPr>
        <w:ind w:left="288"/>
      </w:pPr>
      <w:r>
        <w:rPr>
          <w:i/>
          <w:color w:val="7C5316"/>
        </w:rPr>
        <w:t>be published in this form after ratification. Until counsel signs</w:t>
      </w:r>
    </w:p>
    <w:p>
      <w:pPr>
        <w:ind w:left="288"/>
      </w:pPr>
      <w:r>
        <w:rPr>
          <w:i/>
          <w:color w:val="7C5316"/>
        </w:rPr>
        <w:t>off, treat any specific figure, warranty, or jurisdictional choice</w:t>
      </w:r>
    </w:p>
    <w:p>
      <w:pPr>
        <w:ind w:left="288"/>
      </w:pPr>
      <w:r>
        <w:rPr>
          <w:i/>
          <w:color w:val="7C5316"/>
        </w:rPr>
        <w:t>as tentative.</w:t>
      </w:r>
    </w:p>
    <w:p>
      <w:r>
        <w:t>&gt;</w:t>
      </w:r>
    </w:p>
    <w:p>
      <w:pPr>
        <w:ind w:left="288"/>
      </w:pPr>
      <w:r>
        <w:rPr>
          <w:i/>
          <w:color w:val="7C5316"/>
        </w:rPr>
        <w:t>Version: February 2026 · Birthright Foundation (birthright.live) ·</w:t>
      </w:r>
    </w:p>
    <w:p>
      <w:pPr>
        <w:ind w:left="288"/>
      </w:pPr>
      <w:r>
        <w:rPr>
          <w:i/>
          <w:color w:val="7C5316"/>
        </w:rPr>
        <w:t>Executive Director: James Reagan · Contact: legal@birthright.live</w:t>
      </w:r>
    </w:p>
    <w:p>
      <w:pPr>
        <w:pStyle w:val="Heading1"/>
      </w:pPr>
      <w:r>
        <w:t>Founding Partner Uplift Rider</w:t>
      </w:r>
    </w:p>
    <w:p>
      <w:r>
        <w:rPr>
          <w:b/>
        </w:rPr>
        <w:t>Effective date:</w:t>
      </w:r>
      <w:r>
        <w:t xml:space="preserve"> on countersignature. </w:t>
      </w:r>
      <w:r>
        <w:rPr>
          <w:b/>
        </w:rPr>
        <w:t>Rider to:</w:t>
      </w:r>
      <w:r>
        <w:t xml:space="preserve"> the underlying Facilitator Services Agreement, Artist Consignment / Gallery Partner Agreement, Vendor Supplier / Dropship Agreement, or Community Partner Referral Agreement between Birthright Foundation ("Birthright") and the undersigned partner ("Founding Partner"). Contact: </w:t>
      </w:r>
      <w:r>
        <w:rPr>
          <w:rFonts w:ascii="Consolas" w:hAnsi="Consolas"/>
          <w:sz w:val="20"/>
        </w:rPr>
        <w:t>partners@birthright.live</w:t>
      </w:r>
      <w:r>
        <w:t>.</w:t>
      </w:r>
    </w:p>
    <w:p>
      <w:r>
        <w:t>Founding Partners are the first cohort of partners who joined Birthright before public launch. This rider adds a bounded set of economic and recognition benefits on top of their base partner agreement, in exchange for performance and public-recognition commitments during the founding period.</w:t>
      </w:r>
    </w:p>
    <w:p>
      <w:pPr>
        <w:pStyle w:val="Heading2"/>
      </w:pPr>
      <w:r>
        <w:t>1. Eligibility</w:t>
      </w:r>
    </w:p>
    <w:p>
      <w:r>
        <w:t>The Founding Partner status is designated in writing by the Executive Director at the outset of engagement. Once designated, this rider applies to every transaction under the base agreement until the founding period ends (§6).</w:t>
      </w:r>
    </w:p>
    <w:p>
      <w:pPr>
        <w:pStyle w:val="Heading2"/>
      </w:pPr>
      <w:r>
        <w:t>2. Economic Uplift</w:t>
      </w:r>
    </w:p>
    <w:p>
      <w:r>
        <w:t>For the duration of the founding period, the Founding Partner receives the following in addition to the base agreement's economics:</w:t>
      </w:r>
    </w:p>
    <w:p>
      <w:pPr>
        <w:pStyle w:val="ListBullet"/>
      </w:pPr>
      <w:r>
        <w:rPr>
          <w:b/>
        </w:rPr>
        <w:t>Referral / royalty uplift.</w:t>
      </w:r>
      <w:r>
        <w:t xml:space="preserve"> Base referral commission or artist royalty rate is increased by five (5) percentage points, calculated on the same net-sale base as the underlying agreement.</w:t>
      </w:r>
    </w:p>
    <w:p>
      <w:pPr>
        <w:pStyle w:val="ListBullet"/>
      </w:pPr>
      <w:r>
        <w:rPr>
          <w:b/>
        </w:rPr>
        <w:t>Featured placement.</w:t>
      </w:r>
      <w:r>
        <w:t xml:space="preserve"> One (1) featured placement per calendar quarter on the relevant public surface (</w:t>
      </w:r>
      <w:hyperlink r:id="rId9">
        <w:r>
          <w:rPr>
            <w:color w:val="0563C1"/>
            <w:u w:val="single"/>
          </w:rPr>
          <w:t xml:space="preserve">/gallery</w:t>
        </w:r>
      </w:hyperlink>
      <w:r>
        <w:t xml:space="preserve"> featured slot, </w:t>
      </w:r>
      <w:hyperlink r:id="rId10">
        <w:r>
          <w:rPr>
            <w:color w:val="0563C1"/>
            <w:u w:val="single"/>
          </w:rPr>
          <w:t xml:space="preserve">/gather</w:t>
        </w:r>
      </w:hyperlink>
      <w:r>
        <w:t xml:space="preserve"> spotlight, homepage carousel entry, or </w:t>
      </w:r>
      <w:hyperlink r:id="rId11">
        <w:r>
          <w:rPr>
            <w:color w:val="0563C1"/>
            <w:u w:val="single"/>
          </w:rPr>
          <w:t xml:space="preserve">/partner-story</w:t>
        </w:r>
      </w:hyperlink>
      <w:r>
        <w:t xml:space="preserve"> article), scheduled by Birthright with Founding Partner input.</w:t>
      </w:r>
    </w:p>
    <w:p>
      <w:pPr>
        <w:pStyle w:val="ListBullet"/>
      </w:pPr>
      <w:r>
        <w:rPr>
          <w:b/>
        </w:rPr>
        <w:t>First-look inventory.</w:t>
      </w:r>
      <w:r>
        <w:t xml:space="preserve"> For a rolling 30-day window before broader partner outreach, the Founding Partner is given first-look consideration on new Birthright-originated product, workshop, or licensing opportunities that fall in the Founding Partner's category.</w:t>
      </w:r>
    </w:p>
    <w:p>
      <w:pPr>
        <w:pStyle w:val="ListBullet"/>
      </w:pPr>
      <w:r>
        <w:rPr>
          <w:b/>
        </w:rPr>
        <w:t>Fee waivers.</w:t>
      </w:r>
      <w:r>
        <w:t xml:space="preserve"> The Founding Partner is not charged onboarding or listing fees, and receives free access to Foundation-hosted training and community events during the founding period.</w:t>
      </w:r>
    </w:p>
    <w:p>
      <w:pPr>
        <w:pStyle w:val="Heading2"/>
      </w:pPr>
      <w:r>
        <w:t>3. Recognition</w:t>
      </w:r>
    </w:p>
    <w:p>
      <w:pPr>
        <w:pStyle w:val="ListBullet"/>
      </w:pPr>
      <w:r>
        <w:t xml:space="preserve">Public recognition on </w:t>
      </w:r>
      <w:hyperlink r:id="rId12">
        <w:r>
          <w:rPr>
            <w:color w:val="0563C1"/>
            <w:u w:val="single"/>
          </w:rPr>
          <w:t xml:space="preserve">/founding-partners</w:t>
        </w:r>
      </w:hyperlink>
      <w:r>
        <w:t xml:space="preserve"> (or the equivalent surface), including a partner bio, logo, and story panel.</w:t>
      </w:r>
    </w:p>
    <w:p>
      <w:pPr>
        <w:pStyle w:val="ListBullet"/>
      </w:pPr>
      <w:r>
        <w:t>Recognition in the annual Foundation impact report.</w:t>
      </w:r>
    </w:p>
    <w:p>
      <w:pPr>
        <w:pStyle w:val="ListBullet"/>
      </w:pPr>
      <w:r>
        <w:t>An engraved token from the Founder Collection, presented at the end of the founding period.</w:t>
      </w:r>
    </w:p>
    <w:p>
      <w:pPr>
        <w:pStyle w:val="Heading2"/>
      </w:pPr>
      <w:r>
        <w:t>4. Commitments</w:t>
      </w:r>
    </w:p>
    <w:p>
      <w:pPr>
        <w:pStyle w:val="ListBullet"/>
      </w:pPr>
      <w:r>
        <w:rPr>
          <w:b/>
        </w:rPr>
        <w:t>Minimum activity.</w:t>
      </w:r>
      <w:r>
        <w:t xml:space="preserve"> For each 12-month window inside the founding period, the Founding Partner shall (a) fulfil at least one significant transaction under the base agreement, and (b) participate in at least one co-marketing activity (interview, workshop, guest post, or joint event).</w:t>
      </w:r>
    </w:p>
    <w:p>
      <w:pPr>
        <w:pStyle w:val="ListBullet"/>
      </w:pPr>
      <w:r>
        <w:rPr>
          <w:b/>
        </w:rPr>
        <w:t>Feedback participation.</w:t>
      </w:r>
      <w:r>
        <w:t xml:space="preserve"> Attendance at up to two (2) 60-minute feedback sessions per year at Birthright's request.</w:t>
      </w:r>
    </w:p>
    <w:p>
      <w:pPr>
        <w:pStyle w:val="ListBullet"/>
      </w:pPr>
      <w:r>
        <w:rPr>
          <w:b/>
        </w:rPr>
        <w:t>Non-disparagement.</w:t>
      </w:r>
      <w:r>
        <w:t xml:space="preserve"> Neither party will publicly disparage the other or the other's community during the founding period. Nothing here limits either party's right to raise safeguarding concerns through the Ombudsman channel or to comply with a legal request.</w:t>
      </w:r>
    </w:p>
    <w:p>
      <w:pPr>
        <w:pStyle w:val="Heading2"/>
      </w:pPr>
      <w:r>
        <w:t>5. Confidentiality</w:t>
      </w:r>
    </w:p>
    <w:p>
      <w:r>
        <w:t>Uplift terms, commercial numbers, and internal roadmap materials shared for co-planning are confidential during the founding period and for two (2) years after termination.</w:t>
      </w:r>
    </w:p>
    <w:p>
      <w:pPr>
        <w:pStyle w:val="Heading2"/>
      </w:pPr>
      <w:r>
        <w:t>6. Founding-Period Duration &amp; Wind-Down</w:t>
      </w:r>
    </w:p>
    <w:p>
      <w:pPr>
        <w:pStyle w:val="ListBullet"/>
      </w:pPr>
      <w:r>
        <w:rPr>
          <w:b/>
        </w:rPr>
        <w:t>Founding period.</w:t>
      </w:r>
      <w:r>
        <w:t xml:space="preserve"> Twenty-four (24) months from the effective date, unless terminated earlier under §7 or extended by written agreement.</w:t>
      </w:r>
    </w:p>
    <w:p>
      <w:pPr>
        <w:pStyle w:val="ListBullet"/>
      </w:pPr>
      <w:r>
        <w:rPr>
          <w:b/>
        </w:rPr>
        <w:t>Wind-down.</w:t>
      </w:r>
      <w:r>
        <w:t xml:space="preserve"> On expiry, the underlying base agreement continues without the uplift. Featured placements booked before expiry are honoured on their scheduled dates. Recognition on </w:t>
      </w:r>
      <w:hyperlink r:id="rId12">
        <w:r>
          <w:rPr>
            <w:color w:val="0563C1"/>
            <w:u w:val="single"/>
          </w:rPr>
          <w:t xml:space="preserve">/founding-partners</w:t>
        </w:r>
      </w:hyperlink>
      <w:r>
        <w:t xml:space="preserve"> persists.</w:t>
      </w:r>
    </w:p>
    <w:p>
      <w:pPr>
        <w:pStyle w:val="ListBullet"/>
      </w:pPr>
      <w:r>
        <w:rPr>
          <w:b/>
        </w:rPr>
        <w:t>Renewal.</w:t>
      </w:r>
      <w:r>
        <w:t xml:space="preserve"> Birthright may in its sole discretion offer a second founding-period cohort renewal, or a Legacy Partner designation with distinct terms.</w:t>
      </w:r>
    </w:p>
    <w:p>
      <w:pPr>
        <w:pStyle w:val="Heading2"/>
      </w:pPr>
      <w:r>
        <w:t>7. Termination</w:t>
      </w:r>
    </w:p>
    <w:p>
      <w:pPr>
        <w:pStyle w:val="ListBullet"/>
      </w:pPr>
      <w:r>
        <w:rPr>
          <w:b/>
        </w:rPr>
        <w:t>For cause.</w:t>
      </w:r>
      <w:r>
        <w:t xml:space="preserve"> Either party may terminate on written notice for a material breach not cured within thirty (30) days.</w:t>
      </w:r>
    </w:p>
    <w:p>
      <w:pPr>
        <w:pStyle w:val="ListBullet"/>
      </w:pPr>
      <w:r>
        <w:rPr>
          <w:b/>
        </w:rPr>
        <w:t>Without cause.</w:t>
      </w:r>
      <w:r>
        <w:t xml:space="preserve"> Either party may terminate this rider (only — the base agreement is unaffected) on ninety (90) days' written notice.</w:t>
      </w:r>
    </w:p>
    <w:p>
      <w:pPr>
        <w:pStyle w:val="ListBullet"/>
      </w:pPr>
      <w:r>
        <w:rPr>
          <w:b/>
        </w:rPr>
        <w:t>Effect.</w:t>
      </w:r>
      <w:r>
        <w:t xml:space="preserve"> On termination, the uplift benefits stop immediately; commitments in §4 lapse; recognition entries added before termination remain unless the Founding Partner asks for removal.</w:t>
      </w:r>
    </w:p>
    <w:p>
      <w:pPr>
        <w:pStyle w:val="Heading2"/>
      </w:pPr>
      <w:r>
        <w:t>8. Warranties, Indemnity, Governing Law</w:t>
      </w:r>
    </w:p>
    <w:p>
      <w:r>
        <w:t>Follow the underlying base agreement without modification.</w:t>
      </w:r>
    </w:p>
    <w:p>
      <w:pPr>
        <w:pStyle w:val="Heading2"/>
      </w:pPr>
      <w:r>
        <w:t>9. Signatures</w:t>
      </w:r>
    </w:p>
    <w:p>
      <w:r>
        <w:t>Executed by the Founding Partner and by an authorised officer of Birthright Foundation on the effective date shown above.</w:t>
      </w:r>
    </w:p>
    <w:p/>
    <w:p>
      <w:r>
        <w:t>*First draft — pending counsel ratification. Comments to legal@birthright.live.*</w:t>
      </w:r>
    </w:p>
    <w:p/>
    <w:p>
      <w:pPr>
        <w:pStyle w:val="Heading2"/>
      </w:pPr>
      <w:r>
        <w:t>EU / UK Compliance Addendum</w:t>
      </w:r>
    </w:p>
    <w:p>
      <w:r>
        <w:t>This document was drafted with EU / UK regulatory alignment in mind. Where this document conflicts with mandatory rights of an EU or UK resident, the mandatory local rules prevail. In particular:</w:t>
      </w:r>
    </w:p>
    <w:p>
      <w:pPr>
        <w:pStyle w:val="ListBullet"/>
      </w:pPr>
      <w:r>
        <w:rPr>
          <w:b/>
        </w:rPr>
        <w:t>GDPR (EU) 2016/679 and UK GDPR</w:t>
      </w:r>
      <w:r>
        <w:t xml:space="preserve"> apply to processing of personal data of individuals in the EEA and UK. Where Birthright is the controller, the lawful bases relied on are: (i) contract necessity, (ii) legitimate interests (balanced by opt-out), (iii) consent (marketing and non-essential cookies), and (iv) legal obligation.</w:t>
      </w:r>
    </w:p>
    <w:p>
      <w:pPr>
        <w:pStyle w:val="ListBullet"/>
      </w:pPr>
      <w:r>
        <w:rPr>
          <w:b/>
        </w:rPr>
        <w:t>ePrivacy Directive (2002/58/EC as amended)</w:t>
      </w:r>
      <w:r>
        <w:t xml:space="preserve"> applies to cookies and similar tracking. Non-essential cookies require prior opt-in consent.</w:t>
      </w:r>
    </w:p>
    <w:p>
      <w:pPr>
        <w:pStyle w:val="ListBullet"/>
      </w:pPr>
      <w:r>
        <w:rPr>
          <w:b/>
        </w:rPr>
        <w:t>EU Consumer Rights Directive (2011/83/EU)</w:t>
      </w:r>
      <w:r>
        <w:t xml:space="preserve"> — EU/UK consumers have a 14-day right of withdrawal on distance sales of goods and most digital services. Where a workshop or digital product has been fully performed with the consumer's prior consent, the right may be lost.</w:t>
      </w:r>
    </w:p>
    <w:p>
      <w:pPr>
        <w:pStyle w:val="ListBullet"/>
      </w:pPr>
      <w:r>
        <w:rPr>
          <w:b/>
        </w:rPr>
        <w:t>Digital Services Act (Regulation 2022/2065)</w:t>
      </w:r>
      <w:r>
        <w:t xml:space="preserve"> applies to online intermediaries offering services in the EU; Birthright's community features (posts, DMs, disputes) fall within scope. A single point of contact is designated at eu-contact@birthright.live.</w:t>
      </w:r>
    </w:p>
    <w:p>
      <w:pPr>
        <w:pStyle w:val="ListBullet"/>
      </w:pPr>
      <w:r>
        <w:rPr>
          <w:b/>
        </w:rPr>
        <w:t>EU AI Act (Regulation 2024/1689)</w:t>
      </w:r>
      <w:r>
        <w:t xml:space="preserve"> applies to providers and deployers of AI systems affecting EU users. Birthright's AI features (Help Assistant, image generation, image captioning) are labeled as AI-assisted and are not used for automated decisions with legal effect.</w:t>
      </w:r>
    </w:p>
    <w:p>
      <w:pPr>
        <w:pStyle w:val="ListBullet"/>
      </w:pPr>
      <w:r>
        <w:rPr>
          <w:b/>
        </w:rPr>
        <w:t>Data transfers out of the EEA/UK/CH</w:t>
      </w:r>
      <w:r>
        <w:t xml:space="preserve"> rely on the EU Standard Contractual Clauses (2021/914) and the UK International Data Transfer Addendum, with a transfer-impact assessment on file for each sub-processor.</w:t>
      </w:r>
    </w:p>
    <w:p>
      <w:pPr>
        <w:pStyle w:val="ListBullet"/>
      </w:pPr>
      <w:r>
        <w:rPr>
          <w:b/>
        </w:rPr>
        <w:t>Data Protection Officer (DPO)</w:t>
      </w:r>
      <w:r>
        <w:t xml:space="preserve"> — Birthright will designate a DPO once threshold criteria under GDPR Art. 37 are met. Contact: dpo@birthright.live.</w:t>
      </w:r>
    </w:p>
    <w:p>
      <w:pPr>
        <w:pStyle w:val="ListBullet"/>
      </w:pPr>
      <w:r>
        <w:rPr>
          <w:b/>
        </w:rPr>
        <w:t>DSAR window</w:t>
      </w:r>
      <w:r>
        <w:t xml:space="preserve"> — subject access, rectification, erasure, portability, and objection requests are responded to within </w:t>
      </w:r>
      <w:r>
        <w:rPr>
          <w:b/>
        </w:rPr>
        <w:t>30 days</w:t>
      </w:r>
      <w:r>
        <w:t xml:space="preserve"> (extendable by 60 days for complex requests) at privacy@birthright.live.</w:t>
      </w:r>
    </w:p>
    <w:p>
      <w:pPr>
        <w:pStyle w:val="ListBullet"/>
      </w:pPr>
      <w:r>
        <w:rPr>
          <w:b/>
        </w:rPr>
        <w:t>Supervisory authority</w:t>
      </w:r>
      <w:r>
        <w:t xml:space="preserve"> — EU/UK residents may lodge a complaint with their local supervisory authority; a list is available at </w:t>
      </w:r>
      <w:hyperlink r:id="rId13">
        <w:r>
          <w:rPr>
            <w:color w:val="0563C1"/>
            <w:u w:val="single"/>
          </w:rPr>
          <w:t xml:space="preserve">https://edpb.europa.eu/about-edpb/about-edpb/members_en</w:t>
        </w:r>
      </w:hyperlink>
      <w:r>
        <w:t xml:space="preserve"> (EU) and </w:t>
      </w:r>
      <w:hyperlink r:id="rId14">
        <w:r>
          <w:rPr>
            <w:color w:val="0563C1"/>
            <w:u w:val="single"/>
          </w:rPr>
          <w:t xml:space="preserve">https://ico.org.uk</w:t>
        </w:r>
      </w:hyperlink>
      <w:r>
        <w:t xml:space="preserve"> (UK).</w:t>
      </w:r>
    </w:p>
    <w:p>
      <w:pPr>
        <w:pStyle w:val="ListBullet"/>
      </w:pPr>
      <w:r>
        <w:rPr>
          <w:b/>
        </w:rPr>
        <w:t>VAT</w:t>
      </w:r>
      <w:r>
        <w:t xml:space="preserve"> — Where Birthright's EU B2C digital-service or goods sales cross applicable thresholds, VAT registration (One-Stop-Shop or country-by-country) will be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rthright.live/gallery" TargetMode="External"/><Relationship Id="rId10" Type="http://schemas.openxmlformats.org/officeDocument/2006/relationships/hyperlink" Target="https://birthright.live/gather" TargetMode="External"/><Relationship Id="rId11" Type="http://schemas.openxmlformats.org/officeDocument/2006/relationships/hyperlink" Target="https://birthright.live/partner-story" TargetMode="External"/><Relationship Id="rId12" Type="http://schemas.openxmlformats.org/officeDocument/2006/relationships/hyperlink" Target="https://birthright.live/founding-partners" TargetMode="External"/><Relationship Id="rId13" Type="http://schemas.openxmlformats.org/officeDocument/2006/relationships/hyperlink" Target="https://edpb.europa.eu/about-edpb/about-edpb/members_en" TargetMode="External"/><Relationship Id="rId14" Type="http://schemas.openxmlformats.org/officeDocument/2006/relationships/hyperlink" Target="https://ico.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