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left="288"/>
      </w:pPr>
      <w:r>
        <w:rPr>
          <w:i/>
          <w:color w:val="7C5316"/>
        </w:rPr>
        <w:t>**FIRST DRAFT — PENDING COUNSEL RATIFICATION**</w:t>
      </w:r>
    </w:p>
    <w:p>
      <w:r>
        <w:t>&gt;</w:t>
      </w:r>
    </w:p>
    <w:p>
      <w:pPr>
        <w:ind w:left="288"/>
      </w:pPr>
      <w:r>
        <w:rPr>
          <w:i/>
          <w:color w:val="7C5316"/>
        </w:rPr>
        <w:t>This document is a first draft prepared for outside counsel review.</w:t>
      </w:r>
    </w:p>
    <w:p>
      <w:pPr>
        <w:ind w:left="288"/>
      </w:pPr>
      <w:r>
        <w:rPr>
          <w:i/>
          <w:color w:val="7C5316"/>
        </w:rPr>
        <w:t>It uses accepted standard language for its type and is intended to</w:t>
      </w:r>
    </w:p>
    <w:p>
      <w:pPr>
        <w:ind w:left="288"/>
      </w:pPr>
      <w:r>
        <w:rPr>
          <w:i/>
          <w:color w:val="7C5316"/>
        </w:rPr>
        <w:t>be published in this form after ratification. Until counsel signs</w:t>
      </w:r>
    </w:p>
    <w:p>
      <w:pPr>
        <w:ind w:left="288"/>
      </w:pPr>
      <w:r>
        <w:rPr>
          <w:i/>
          <w:color w:val="7C5316"/>
        </w:rPr>
        <w:t>off, treat any specific figure, warranty, or jurisdictional choice</w:t>
      </w:r>
    </w:p>
    <w:p>
      <w:pPr>
        <w:ind w:left="288"/>
      </w:pPr>
      <w:r>
        <w:rPr>
          <w:i/>
          <w:color w:val="7C5316"/>
        </w:rPr>
        <w:t>as tentative.</w:t>
      </w:r>
    </w:p>
    <w:p>
      <w:r>
        <w:t>&gt;</w:t>
      </w:r>
    </w:p>
    <w:p>
      <w:pPr>
        <w:ind w:left="288"/>
      </w:pPr>
      <w:r>
        <w:rPr>
          <w:i/>
          <w:color w:val="7C5316"/>
        </w:rPr>
        <w:t>Version: February 2026 · Birthright Foundation (birthright.live) ·</w:t>
      </w:r>
    </w:p>
    <w:p>
      <w:pPr>
        <w:ind w:left="288"/>
      </w:pPr>
      <w:r>
        <w:rPr>
          <w:i/>
          <w:color w:val="7C5316"/>
        </w:rPr>
        <w:t>Executive Director: James Reagan · Contact: legal@birthright.live</w:t>
      </w:r>
    </w:p>
    <w:p>
      <w:pPr>
        <w:pStyle w:val="Heading1"/>
      </w:pPr>
      <w:r>
        <w:t>Facilitator Curriculum Licence Rider</w:t>
      </w:r>
    </w:p>
    <w:p>
      <w:r>
        <w:rPr>
          <w:b/>
        </w:rPr>
        <w:t>Effective date:</w:t>
      </w:r>
      <w:r>
        <w:t xml:space="preserve"> on countersignature. </w:t>
      </w:r>
      <w:r>
        <w:rPr>
          <w:b/>
        </w:rPr>
        <w:t>Rider to:</w:t>
      </w:r>
      <w:r>
        <w:t xml:space="preserve"> the Facilitator Services Agreement between Birthright Foundation ("Birthright") and the undersigned facilitator ("Facilitator"). Contact: </w:t>
      </w:r>
      <w:r>
        <w:rPr>
          <w:rFonts w:ascii="Consolas" w:hAnsi="Consolas"/>
          <w:sz w:val="20"/>
        </w:rPr>
        <w:t>facilitators@birthright.live</w:t>
      </w:r>
      <w:r>
        <w:t>.</w:t>
      </w:r>
    </w:p>
    <w:p>
      <w:r>
        <w:t>This rider governs the licence and use of Birthright-authored workshop curricula, facilitator guides, participant workbooks, slides, and audio-visual materials (collectively, the "Curriculum") when delivered by the Facilitator inside or alongside Birthright programming.</w:t>
      </w:r>
    </w:p>
    <w:p>
      <w:pPr>
        <w:pStyle w:val="Heading2"/>
      </w:pPr>
      <w:r>
        <w:t>1. Licence Grant</w:t>
      </w:r>
    </w:p>
    <w:p>
      <w:r>
        <w:t xml:space="preserve">Subject to the Facilitator's compliance with this rider and the base Facilitator Services Agreement, Birthright grants the Facilitator a non-exclusive, non-transferable, royalty-free, worldwide licence to use the Curriculum solely for the purpose of delivering workshops on </w:t>
      </w:r>
      <w:r>
        <w:rPr>
          <w:rFonts w:ascii="Consolas" w:hAnsi="Consolas"/>
          <w:sz w:val="20"/>
        </w:rPr>
        <w:t>birthright.live</w:t>
      </w:r>
      <w:r>
        <w:t xml:space="preserve"> or at Birthright-approved partner venues.</w:t>
      </w:r>
    </w:p>
    <w:p>
      <w:pPr>
        <w:pStyle w:val="Heading2"/>
      </w:pPr>
      <w:r>
        <w:t>2. Restrictions</w:t>
      </w:r>
    </w:p>
    <w:p>
      <w:r>
        <w:t>Facilitator shall not:</w:t>
      </w:r>
    </w:p>
    <w:p>
      <w:pPr>
        <w:pStyle w:val="ListBullet"/>
      </w:pPr>
      <w:r>
        <w:t>Sub-licence, resell, or redistribute the Curriculum in whole or in part.</w:t>
      </w:r>
    </w:p>
    <w:p>
      <w:pPr>
        <w:pStyle w:val="ListBullet"/>
      </w:pPr>
      <w:r>
        <w:t>Publish the Curriculum on the open internet, on paid course platforms, or on any surface not operated by Birthright.</w:t>
      </w:r>
    </w:p>
    <w:p>
      <w:pPr>
        <w:pStyle w:val="ListBullet"/>
      </w:pPr>
      <w:r>
        <w:t>Modify the Curriculum in a way that alters the underlying model or removes Birthright attribution. Delivery tone, examples, and framing may be personalised; the core content, exercises, and citations must remain intact.</w:t>
      </w:r>
    </w:p>
    <w:p>
      <w:pPr>
        <w:pStyle w:val="ListBullet"/>
      </w:pPr>
      <w:r>
        <w:t>Use the Curriculum, or content substantially derived from it, in competing programs run outside Birthright.</w:t>
      </w:r>
    </w:p>
    <w:p>
      <w:pPr>
        <w:pStyle w:val="Heading2"/>
      </w:pPr>
      <w:r>
        <w:t>3. Attribution</w:t>
      </w:r>
    </w:p>
    <w:p>
      <w:r>
        <w:t>Every delivery of the Curriculum includes the credit line: _"Adapted from Birthright Foundation curriculum, used under licence."_ on the slide deck, workbook cover, or verbal introduction, as appropriate to the format.</w:t>
      </w:r>
    </w:p>
    <w:p>
      <w:pPr>
        <w:pStyle w:val="Heading2"/>
      </w:pPr>
      <w:r>
        <w:t>4. Ownership</w:t>
      </w:r>
    </w:p>
    <w:p>
      <w:r>
        <w:t>Birthright retains all right, title, and interest in the Curriculum, including all copyrights, trademarks, trade secrets, and moral rights. Nothing in this rider transfers ownership of the Curriculum to the Facilitator.</w:t>
      </w:r>
    </w:p>
    <w:p>
      <w:pPr>
        <w:pStyle w:val="Heading2"/>
      </w:pPr>
      <w:r>
        <w:t>5. Contributions Back</w:t>
      </w:r>
    </w:p>
    <w:p>
      <w:pPr>
        <w:pStyle w:val="ListBullet"/>
      </w:pPr>
      <w:r>
        <w:t>Where the Facilitator authors improvements, extension modules, new exercises, or facilitator notes on the Curriculum during the engagement, those improvements are commissioned as works made for hire under 17 U.S.C. § 101; to the extent any element is not a work made for hire, the Facilitator irrevocably assigns to Birthright all right, title, and interest in that element.</w:t>
      </w:r>
    </w:p>
    <w:p>
      <w:pPr>
        <w:pStyle w:val="ListBullet"/>
      </w:pPr>
      <w:r>
        <w:rPr>
          <w:b/>
        </w:rPr>
        <w:t>Attribution back.</w:t>
      </w:r>
      <w:r>
        <w:t xml:space="preserve"> Contributing facilitators receive a "contributions from" credit in the next revision of the Curriculum, unless they ask in writing to be uncredited.</w:t>
      </w:r>
    </w:p>
    <w:p>
      <w:pPr>
        <w:pStyle w:val="ListBullet"/>
      </w:pPr>
      <w:r>
        <w:rPr>
          <w:b/>
        </w:rPr>
        <w:t>Background IP.</w:t>
      </w:r>
      <w:r>
        <w:t xml:space="preserve"> Frameworks, methods, or materials the Facilitator brings to the engagement that pre-date the licence remain the Facilitator's own property.</w:t>
      </w:r>
    </w:p>
    <w:p>
      <w:pPr>
        <w:pStyle w:val="Heading2"/>
      </w:pPr>
      <w:r>
        <w:t>6. Term &amp; Termination</w:t>
      </w:r>
    </w:p>
    <w:p>
      <w:pPr>
        <w:pStyle w:val="ListBullet"/>
      </w:pPr>
      <w:r>
        <w:rPr>
          <w:b/>
        </w:rPr>
        <w:t>Term.</w:t>
      </w:r>
      <w:r>
        <w:t xml:space="preserve"> The licence is co-terminous with the base Facilitator Services Agreement.</w:t>
      </w:r>
    </w:p>
    <w:p>
      <w:pPr>
        <w:pStyle w:val="ListBullet"/>
      </w:pPr>
      <w:r>
        <w:rPr>
          <w:b/>
        </w:rPr>
        <w:t>Termination.</w:t>
      </w:r>
      <w:r>
        <w:t xml:space="preserve"> On termination or non-renewal of the base agreement, the licence ends immediately. The Facilitator shall destroy or return all Birthright-supplied materials within thirty (30) days and cease all further use.</w:t>
      </w:r>
    </w:p>
    <w:p>
      <w:pPr>
        <w:pStyle w:val="ListBullet"/>
      </w:pPr>
      <w:r>
        <w:rPr>
          <w:b/>
        </w:rPr>
        <w:t>Post-termination residual.</w:t>
      </w:r>
      <w:r>
        <w:t xml:space="preserve"> The Facilitator may retain a personal-use copy for training-history and continuing-education records only, not for redelivery.</w:t>
      </w:r>
    </w:p>
    <w:p>
      <w:pPr>
        <w:pStyle w:val="Heading2"/>
      </w:pPr>
      <w:r>
        <w:t>7. Warranties, Indemnity, Governing Law</w:t>
      </w:r>
    </w:p>
    <w:p>
      <w:r>
        <w:t>Follow the underlying base agreement without modification. Section 2 (Restrictions), 4 (Ownership), and 5 (Contributions Back) survive termination indefinitely.</w:t>
      </w:r>
    </w:p>
    <w:p>
      <w:pPr>
        <w:pStyle w:val="Heading2"/>
      </w:pPr>
      <w:r>
        <w:t>8. Signatures</w:t>
      </w:r>
    </w:p>
    <w:p>
      <w:r>
        <w:t>Executed by the Facilitator and by an authorised officer of Birthright Foundation on the effective date shown above.</w:t>
      </w:r>
    </w:p>
    <w:p/>
    <w:p>
      <w:r>
        <w:t>*First draft — pending counsel ratification. Comments to legal@birthright.live.*</w:t>
      </w:r>
    </w:p>
    <w:p/>
    <w:p>
      <w:pPr>
        <w:pStyle w:val="Heading2"/>
      </w:pPr>
      <w:r>
        <w:t>EU / UK Compliance Addendum</w:t>
      </w:r>
    </w:p>
    <w:p>
      <w:r>
        <w:t>This document was drafted with EU / UK regulatory alignment in mind. Where this document conflicts with mandatory rights of an EU or UK resident, the mandatory local rules prevail. In particular:</w:t>
      </w:r>
    </w:p>
    <w:p>
      <w:pPr>
        <w:pStyle w:val="ListBullet"/>
      </w:pPr>
      <w:r>
        <w:rPr>
          <w:b/>
        </w:rPr>
        <w:t>GDPR (EU) 2016/679 and UK GDPR</w:t>
      </w:r>
      <w:r>
        <w:t xml:space="preserve"> apply to processing of personal data of individuals in the EEA and UK. Where Birthright is the controller, the lawful bases relied on are: (i) contract necessity, (ii) legitimate interests (balanced by opt-out), (iii) consent (marketing and non-essential cookies), and (iv) legal obligation.</w:t>
      </w:r>
    </w:p>
    <w:p>
      <w:pPr>
        <w:pStyle w:val="ListBullet"/>
      </w:pPr>
      <w:r>
        <w:rPr>
          <w:b/>
        </w:rPr>
        <w:t>ePrivacy Directive (2002/58/EC as amended)</w:t>
      </w:r>
      <w:r>
        <w:t xml:space="preserve"> applies to cookies and similar tracking. Non-essential cookies require prior opt-in consent.</w:t>
      </w:r>
    </w:p>
    <w:p>
      <w:pPr>
        <w:pStyle w:val="ListBullet"/>
      </w:pPr>
      <w:r>
        <w:rPr>
          <w:b/>
        </w:rPr>
        <w:t>EU Consumer Rights Directive (2011/83/EU)</w:t>
      </w:r>
      <w:r>
        <w:t xml:space="preserve"> — EU/UK consumers have a 14-day right of withdrawal on distance sales of goods and most digital services. Where a workshop or digital product has been fully performed with the consumer's prior consent, the right may be lost.</w:t>
      </w:r>
    </w:p>
    <w:p>
      <w:pPr>
        <w:pStyle w:val="ListBullet"/>
      </w:pPr>
      <w:r>
        <w:rPr>
          <w:b/>
        </w:rPr>
        <w:t>Digital Services Act (Regulation 2022/2065)</w:t>
      </w:r>
      <w:r>
        <w:t xml:space="preserve"> applies to online intermediaries offering services in the EU; Birthright's community features (posts, DMs, disputes) fall within scope. A single point of contact is designated at eu-contact@birthright.live.</w:t>
      </w:r>
    </w:p>
    <w:p>
      <w:pPr>
        <w:pStyle w:val="ListBullet"/>
      </w:pPr>
      <w:r>
        <w:rPr>
          <w:b/>
        </w:rPr>
        <w:t>EU AI Act (Regulation 2024/1689)</w:t>
      </w:r>
      <w:r>
        <w:t xml:space="preserve"> applies to providers and deployers of AI systems affecting EU users. Birthright's AI features (Help Assistant, image generation, image captioning) are labeled as AI-assisted and are not used for automated decisions with legal effect.</w:t>
      </w:r>
    </w:p>
    <w:p>
      <w:pPr>
        <w:pStyle w:val="ListBullet"/>
      </w:pPr>
      <w:r>
        <w:rPr>
          <w:b/>
        </w:rPr>
        <w:t>Data transfers out of the EEA/UK/CH</w:t>
      </w:r>
      <w:r>
        <w:t xml:space="preserve"> rely on the EU Standard Contractual Clauses (2021/914) and the UK International Data Transfer Addendum, with a transfer-impact assessment on file for each sub-processor.</w:t>
      </w:r>
    </w:p>
    <w:p>
      <w:pPr>
        <w:pStyle w:val="ListBullet"/>
      </w:pPr>
      <w:r>
        <w:rPr>
          <w:b/>
        </w:rPr>
        <w:t>Data Protection Officer (DPO)</w:t>
      </w:r>
      <w:r>
        <w:t xml:space="preserve"> — Birthright will designate a DPO once threshold criteria under GDPR Art. 37 are met. Contact: dpo@birthright.live.</w:t>
      </w:r>
    </w:p>
    <w:p>
      <w:pPr>
        <w:pStyle w:val="ListBullet"/>
      </w:pPr>
      <w:r>
        <w:rPr>
          <w:b/>
        </w:rPr>
        <w:t>DSAR window</w:t>
      </w:r>
      <w:r>
        <w:t xml:space="preserve"> — subject access, rectification, erasure, portability, and objection requests are responded to within </w:t>
      </w:r>
      <w:r>
        <w:rPr>
          <w:b/>
        </w:rPr>
        <w:t>30 days</w:t>
      </w:r>
      <w:r>
        <w:t xml:space="preserve"> (extendable by 60 days for complex requests) at privacy@birthright.live.</w:t>
      </w:r>
    </w:p>
    <w:p>
      <w:pPr>
        <w:pStyle w:val="ListBullet"/>
      </w:pPr>
      <w:r>
        <w:rPr>
          <w:b/>
        </w:rPr>
        <w:t>Supervisory authority</w:t>
      </w:r>
      <w:r>
        <w:t xml:space="preserve"> — EU/UK residents may lodge a complaint with their local supervisory authority; a list is available at </w:t>
      </w:r>
      <w:hyperlink r:id="rId9">
        <w:r>
          <w:rPr>
            <w:color w:val="0563C1"/>
            <w:u w:val="single"/>
          </w:rPr>
          <w:t xml:space="preserve">https://edpb.europa.eu/about-edpb/about-edpb/members_en</w:t>
        </w:r>
      </w:hyperlink>
      <w:r>
        <w:t xml:space="preserve"> (EU) and </w:t>
      </w:r>
      <w:hyperlink r:id="rId10">
        <w:r>
          <w:rPr>
            <w:color w:val="0563C1"/>
            <w:u w:val="single"/>
          </w:rPr>
          <w:t xml:space="preserve">https://ico.org.uk</w:t>
        </w:r>
      </w:hyperlink>
      <w:r>
        <w:t xml:space="preserve"> (UK).</w:t>
      </w:r>
    </w:p>
    <w:p>
      <w:pPr>
        <w:pStyle w:val="ListBullet"/>
      </w:pPr>
      <w:r>
        <w:rPr>
          <w:b/>
        </w:rPr>
        <w:t>VAT</w:t>
      </w:r>
      <w:r>
        <w:t xml:space="preserve"> — Where Birthright's EU B2C digital-service or goods sales cross applicable thresholds, VAT registration (One-Stop-Shop or country-by-country) will be 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dpb.europa.eu/about-edpb/about-edpb/members_en" TargetMode="External"/><Relationship Id="rId10" Type="http://schemas.openxmlformats.org/officeDocument/2006/relationships/hyperlink" Target="https://ico.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