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Sponsorship Agreement &amp; Recognition Consent</w:t>
      </w:r>
    </w:p>
    <w:p>
      <w:r>
        <w:rPr>
          <w:b/>
        </w:rPr>
        <w:t>Parties:</w:t>
      </w:r>
      <w:r>
        <w:t xml:space="preserve"> Birthright Foundation ("Birthright") and the sponsor</w:t>
      </w:r>
    </w:p>
    <w:p>
      <w:r>
        <w:t>identified below ("Sponsor").</w:t>
      </w:r>
    </w:p>
    <w:p>
      <w:pPr>
        <w:pStyle w:val="Heading2"/>
      </w:pPr>
      <w:r>
        <w:t>1. Pledge</w:t>
      </w:r>
    </w:p>
    <w:p>
      <w:r>
        <w:t>Sponsor commits to the amount and campaign identified in the</w:t>
      </w:r>
    </w:p>
    <w:p>
      <w:r>
        <w:t>signature block. Amounts are payable within 30 days of invoice.</w:t>
      </w:r>
    </w:p>
    <w:p>
      <w:pPr>
        <w:pStyle w:val="Heading2"/>
      </w:pPr>
      <w:r>
        <w:t>2. Tax Status</w:t>
      </w:r>
    </w:p>
    <w:p>
      <w:r>
        <w:t xml:space="preserve">Birthright's federal 501(c)(3) recognition is </w:t>
      </w:r>
      <w:r>
        <w:rPr>
          <w:b/>
        </w:rPr>
        <w:t>not yet granted</w:t>
      </w:r>
      <w:r>
        <w:t>.</w:t>
      </w:r>
    </w:p>
    <w:p>
      <w:r>
        <w:t>Until it is, pledges are **not tax-deductible as charitable</w:t>
      </w:r>
    </w:p>
    <w:p>
      <w:r>
        <w:t>contributions**. Birthright will issue a business receipt on payment.</w:t>
      </w:r>
    </w:p>
    <w:p>
      <w:r>
        <w:t>Sponsor should consult a tax advisor.</w:t>
      </w:r>
    </w:p>
    <w:p>
      <w:pPr>
        <w:pStyle w:val="Heading2"/>
      </w:pPr>
      <w:r>
        <w:t>3. Recognition</w:t>
      </w:r>
    </w:p>
    <w:p>
      <w:r>
        <w:t>Birthright will recognise Sponsor at the level chosen (bronze /</w:t>
      </w:r>
    </w:p>
    <w:p>
      <w:r>
        <w:t>silver / gold / presenting) with the benefits described on the</w:t>
      </w:r>
    </w:p>
    <w:p>
      <w:r>
        <w:t>campaign page. Sponsor may opt out of public recognition in writing.</w:t>
      </w:r>
    </w:p>
    <w:p>
      <w:pPr>
        <w:pStyle w:val="Heading2"/>
      </w:pPr>
      <w:r>
        <w:t>4. Use of Sponsor Name &amp; Logo</w:t>
      </w:r>
    </w:p>
    <w:p>
      <w:r>
        <w:t>Sponsor grants Birthright a limited, revocable licence to use</w:t>
      </w:r>
    </w:p>
    <w:p>
      <w:r>
        <w:t>Sponsor's name and logo for recognition on the campaign page, the</w:t>
      </w:r>
    </w:p>
    <w:p>
      <w:r>
        <w:t>sponsor directory, the Wall of Supporters, and related campaign</w:t>
      </w:r>
    </w:p>
    <w:p>
      <w:r>
        <w:t>communications, in accordance with any Sponsor brand guidelines</w:t>
      </w:r>
    </w:p>
    <w:p>
      <w:r>
        <w:t>provided. Any other use requires separate written permission.</w:t>
      </w:r>
    </w:p>
    <w:p>
      <w:pPr>
        <w:pStyle w:val="Heading2"/>
      </w:pPr>
      <w:r>
        <w:t>5. Non-Endorsement</w:t>
      </w:r>
    </w:p>
    <w:p>
      <w:r>
        <w:t>Recognition is acknowledgement of financial support only and does</w:t>
      </w:r>
    </w:p>
    <w:p>
      <w:r>
        <w:t>not imply Birthright's endorsement of Sponsor's products or</w:t>
      </w:r>
    </w:p>
    <w:p>
      <w:r>
        <w:t>services, or vice versa.</w:t>
      </w:r>
    </w:p>
    <w:p>
      <w:pPr>
        <w:pStyle w:val="Heading2"/>
      </w:pPr>
      <w:r>
        <w:t>6. Refunds</w:t>
      </w:r>
    </w:p>
    <w:p>
      <w:r>
        <w:t>Sponsorship payments are generally non-refundable. If Birthright</w:t>
      </w:r>
    </w:p>
    <w:p>
      <w:r>
        <w:t>cancels the campaign before its scheduled start, unspent Sponsor</w:t>
      </w:r>
    </w:p>
    <w:p>
      <w:r>
        <w:t>funds will be refunded.</w:t>
      </w:r>
    </w:p>
    <w:p>
      <w:pPr>
        <w:pStyle w:val="Heading2"/>
      </w:pPr>
      <w:r>
        <w:t>7. Confidentiality</w:t>
      </w:r>
    </w:p>
    <w:p>
      <w:r>
        <w:t>Non-public information exchanged between the parties is</w:t>
      </w:r>
    </w:p>
    <w:p>
      <w:r>
        <w:t>confidential and will not be disclosed except as required by law.</w:t>
      </w:r>
    </w:p>
    <w:p>
      <w:pPr>
        <w:pStyle w:val="Heading2"/>
      </w:pPr>
      <w:r>
        <w:t>8. Contingency Note</w:t>
      </w:r>
    </w:p>
    <w:p>
      <w:r>
        <w:t>Where the campaign depends on a third-party event (e.g., a broadcast</w:t>
      </w:r>
    </w:p>
    <w:p>
      <w:r>
        <w:t>partner), Sponsor understands that Birthright may terminate or</w:t>
      </w:r>
    </w:p>
    <w:p>
      <w:r>
        <w:t>re-scope the campaign if commercial or safeguarding conditions are</w:t>
      </w:r>
    </w:p>
    <w:p>
      <w:r>
        <w:t>not met, and will refund any unspent Sponsor funds.</w:t>
      </w:r>
    </w:p>
    <w:p>
      <w:pPr>
        <w:pStyle w:val="Heading2"/>
      </w:pPr>
      <w:r>
        <w:t>9. Governing Law</w:t>
      </w:r>
    </w:p>
    <w:p>
      <w:r>
        <w:t>North Carolina, USA.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Where an EU or UK resident's mandatory local rights conflict with this</w:t>
      </w:r>
    </w:p>
    <w:p>
      <w:r>
        <w:t>document, the local rules prevail. Key points:</w:t>
      </w:r>
    </w:p>
    <w:p>
      <w:pPr>
        <w:pStyle w:val="ListBullet"/>
      </w:pPr>
      <w:r>
        <w:rPr>
          <w:b/>
        </w:rPr>
        <w:t>GDPR (EU) 2016/679</w:t>
      </w:r>
      <w:r>
        <w:t xml:space="preserve"> and </w:t>
      </w:r>
      <w:r>
        <w:rPr>
          <w:b/>
        </w:rPr>
        <w:t>UK GDPR</w:t>
      </w:r>
      <w:r>
        <w:t xml:space="preserve"> govern personal-data</w:t>
      </w:r>
    </w:p>
    <w:p>
      <w:r>
        <w:t>processing. Lawful bases: contract necessity, legitimate interests</w:t>
      </w:r>
    </w:p>
    <w:p>
      <w:r>
        <w:t>(with opt-out), consent (marketing / non-essential cookies), and</w:t>
      </w:r>
    </w:p>
    <w:p>
      <w:r>
        <w:t>legal obligation.</w:t>
      </w:r>
    </w:p>
    <w:p>
      <w:pPr>
        <w:pStyle w:val="ListBullet"/>
      </w:pPr>
      <w:r>
        <w:rPr>
          <w:b/>
        </w:rPr>
        <w:t>ePrivacy Directive (2002/58/EC)</w:t>
      </w:r>
      <w:r>
        <w:t xml:space="preserve"> — non-essential cookies require</w:t>
      </w:r>
    </w:p>
    <w:p>
      <w:r>
        <w:t>prior opt-in consent (see our Cookie Notice).</w:t>
      </w:r>
    </w:p>
    <w:p>
      <w:pPr>
        <w:pStyle w:val="ListBullet"/>
      </w:pPr>
      <w:r>
        <w:rPr>
          <w:b/>
        </w:rPr>
        <w:t>Consumer Rights Directive (2011/83/EU)</w:t>
      </w:r>
      <w:r>
        <w:t xml:space="preserve"> — 14-day right of</w:t>
      </w:r>
    </w:p>
    <w:p>
      <w:r>
        <w:t>withdrawal on distance sales of goods and most digital services.</w:t>
      </w:r>
    </w:p>
    <w:p>
      <w:r>
        <w:t>Fully-performed digital content with prior consent may lose that</w:t>
      </w:r>
    </w:p>
    <w:p>
      <w:r>
        <w:t>right.</w:t>
      </w:r>
    </w:p>
    <w:p>
      <w:pPr>
        <w:pStyle w:val="ListBullet"/>
      </w:pPr>
      <w:r>
        <w:rPr>
          <w:b/>
        </w:rPr>
        <w:t>Digital Services Act (Reg. 2022/2065)</w:t>
      </w:r>
      <w:r>
        <w:t xml:space="preserve"> — community features</w:t>
      </w:r>
    </w:p>
    <w:p>
      <w:r>
        <w:t>(posts, DMs, disputes) fall in scope. Single point of contact:</w:t>
      </w:r>
    </w:p>
    <w:p>
      <w:r>
        <w:t>eu-contact@birthright.live.</w:t>
      </w:r>
    </w:p>
    <w:p>
      <w:pPr>
        <w:pStyle w:val="ListBullet"/>
      </w:pPr>
      <w:r>
        <w:rPr>
          <w:b/>
        </w:rPr>
        <w:t>Cross-border transfers</w:t>
      </w:r>
      <w:r>
        <w:t xml:space="preserve"> — EU SCCs (2021/914) + UK IDTA with a</w:t>
      </w:r>
    </w:p>
    <w:p>
      <w:r>
        <w:t>transfer-impact assessment per sub-processor.</w:t>
      </w:r>
    </w:p>
    <w:p>
      <w:pPr>
        <w:pStyle w:val="ListBullet"/>
      </w:pPr>
      <w:r>
        <w:rPr>
          <w:b/>
        </w:rPr>
        <w:t>DSAR window</w:t>
      </w:r>
      <w:r>
        <w:t xml:space="preserve"> — 30 days (extendable to 90) at</w:t>
      </w:r>
    </w:p>
    <w:p>
      <w:r>
        <w:t>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EU: your national DPA</w:t>
      </w:r>
    </w:p>
    <w:p>
      <w:r>
        <w:t>(</w:t>
      </w:r>
      <w:hyperlink r:id="rId9">
        <w:r>
          <w:rPr>
            <w:color w:val="0563C1"/>
            <w:u w:val="single"/>
          </w:rPr>
          <w:t xml:space="preserve">https://edpb.europa.eu</w:t>
        </w:r>
      </w:hyperlink>
      <w:r>
        <w:t>). UK: ICO (</w:t>
      </w:r>
      <w:hyperlink r:id="rId10">
        <w:r>
          <w:rPr>
            <w:color w:val="0563C1"/>
            <w:u w:val="single"/>
          </w:rPr>
          <w:t xml:space="preserve">https://ico.org.uk</w:t>
        </w:r>
      </w:hyperlink>
      <w: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