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Nonprofit Governance Bundle</w:t>
      </w:r>
    </w:p>
    <w:p>
      <w:r>
        <w:t>This bundle contains five plain-language first drafts a nonprofit</w:t>
      </w:r>
    </w:p>
    <w:p>
      <w:r>
        <w:t>lawyer can adapt to Birthright's chosen state and entity form.</w:t>
      </w:r>
    </w:p>
    <w:p/>
    <w:p>
      <w:pPr>
        <w:pStyle w:val="Heading2"/>
      </w:pPr>
      <w:r>
        <w:t>A. Articles of Incorporation (Draft outline)</w:t>
      </w:r>
    </w:p>
    <w:p>
      <w:pPr>
        <w:pStyle w:val="ListNumber"/>
      </w:pPr>
      <w:r>
        <w:rPr>
          <w:b/>
        </w:rPr>
        <w:t>Name.</w:t>
      </w:r>
      <w:r>
        <w:t xml:space="preserve"> Birthright Foundation.</w:t>
      </w:r>
    </w:p>
    <w:p>
      <w:pPr>
        <w:pStyle w:val="ListNumber"/>
      </w:pPr>
      <w:r>
        <w:rPr>
          <w:b/>
        </w:rPr>
        <w:t>Type.</w:t>
      </w:r>
      <w:r>
        <w:t xml:space="preserve"> Nonprofit corporation under N.C. Gen. Stat. Ch. 55A.</w:t>
      </w:r>
    </w:p>
    <w:p>
      <w:pPr>
        <w:pStyle w:val="ListNumber"/>
      </w:pPr>
      <w:r>
        <w:rPr>
          <w:b/>
        </w:rPr>
        <w:t>Duration.</w:t>
      </w:r>
      <w:r>
        <w:t xml:space="preserve"> Perpetual.</w:t>
      </w:r>
    </w:p>
    <w:p>
      <w:pPr>
        <w:pStyle w:val="ListNumber"/>
      </w:pPr>
      <w:r>
        <w:rPr>
          <w:b/>
        </w:rPr>
        <w:t>Purpose.</w:t>
      </w:r>
      <w:r>
        <w:t xml:space="preserve"> Exclusively charitable and educational within the</w:t>
      </w:r>
    </w:p>
    <w:p>
      <w:r>
        <w:t>meaning of Section 501(c)(3) of the Internal Revenue Code,</w:t>
      </w:r>
    </w:p>
    <w:p>
      <w:r>
        <w:t>including educational programming on secure attachment,</w:t>
      </w:r>
    </w:p>
    <w:p>
      <w:r>
        <w:t>presence, and community wellbeing.</w:t>
      </w:r>
    </w:p>
    <w:p>
      <w:pPr>
        <w:pStyle w:val="ListNumber"/>
      </w:pPr>
      <w:r>
        <w:rPr>
          <w:b/>
        </w:rPr>
        <w:t>Members.</w:t>
      </w:r>
      <w:r>
        <w:t xml:space="preserve"> No members; governance by a self-perpetuating Board.</w:t>
      </w:r>
    </w:p>
    <w:p>
      <w:pPr>
        <w:pStyle w:val="ListNumber"/>
      </w:pPr>
      <w:r>
        <w:rPr>
          <w:b/>
        </w:rPr>
        <w:t>Board.</w:t>
      </w:r>
      <w:r>
        <w:t xml:space="preserve"> Not fewer than three (3) directors.</w:t>
      </w:r>
    </w:p>
    <w:p>
      <w:pPr>
        <w:pStyle w:val="ListNumber"/>
      </w:pPr>
      <w:r>
        <w:rPr>
          <w:b/>
        </w:rPr>
        <w:t>Registered agent &amp; office.</w:t>
      </w:r>
      <w:r>
        <w:t xml:space="preserve"> As designated on Form NC BE-01.</w:t>
      </w:r>
    </w:p>
    <w:p>
      <w:pPr>
        <w:pStyle w:val="ListNumber"/>
      </w:pPr>
      <w:r>
        <w:rPr>
          <w:b/>
        </w:rPr>
        <w:t>Dissolution.</w:t>
      </w:r>
      <w:r>
        <w:t xml:space="preserve"> Upon dissolution, assets distributed to one or</w:t>
      </w:r>
    </w:p>
    <w:p>
      <w:r>
        <w:t>more organisations qualified under IRC 501(c)(3) or to a</w:t>
      </w:r>
    </w:p>
    <w:p>
      <w:r>
        <w:t>governmental entity for a public purpose.</w:t>
      </w:r>
    </w:p>
    <w:p>
      <w:pPr>
        <w:pStyle w:val="ListNumber"/>
      </w:pPr>
      <w:r>
        <w:rPr>
          <w:b/>
        </w:rPr>
        <w:t>Non-inurement / non-political.</w:t>
      </w:r>
      <w:r>
        <w:t xml:space="preserve"> Standard 501(c)(3) clauses</w:t>
      </w:r>
    </w:p>
    <w:p>
      <w:r>
        <w:t>prohibiting private inurement, substantial lobbying, and any</w:t>
      </w:r>
    </w:p>
    <w:p>
      <w:r>
        <w:t>political-campaign intervention.</w:t>
      </w:r>
    </w:p>
    <w:p/>
    <w:p>
      <w:pPr>
        <w:pStyle w:val="Heading2"/>
      </w:pPr>
      <w:r>
        <w:t>B. Bylaws (Key sections)</w:t>
      </w:r>
    </w:p>
    <w:p>
      <w:pPr>
        <w:pStyle w:val="ListBullet"/>
      </w:pPr>
      <w:r>
        <w:rPr>
          <w:b/>
        </w:rPr>
        <w:t>Board size:</w:t>
      </w:r>
      <w:r>
        <w:t xml:space="preserve"> 3–11 directors.</w:t>
      </w:r>
    </w:p>
    <w:p>
      <w:pPr>
        <w:pStyle w:val="ListBullet"/>
      </w:pPr>
      <w:r>
        <w:rPr>
          <w:b/>
        </w:rPr>
        <w:t>Term:</w:t>
      </w:r>
      <w:r>
        <w:t xml:space="preserve"> two (2) years, staggered, up to three consecutive terms.</w:t>
      </w:r>
    </w:p>
    <w:p>
      <w:pPr>
        <w:pStyle w:val="ListBullet"/>
      </w:pPr>
      <w:r>
        <w:rPr>
          <w:b/>
        </w:rPr>
        <w:t>Meetings:</w:t>
      </w:r>
      <w:r>
        <w:t xml:space="preserve"> at least quarterly; annual meeting in Q1.</w:t>
      </w:r>
    </w:p>
    <w:p>
      <w:pPr>
        <w:pStyle w:val="ListBullet"/>
      </w:pPr>
      <w:r>
        <w:rPr>
          <w:b/>
        </w:rPr>
        <w:t>Quorum:</w:t>
      </w:r>
      <w:r>
        <w:t xml:space="preserve"> majority of directors then in office.</w:t>
      </w:r>
    </w:p>
    <w:p>
      <w:pPr>
        <w:pStyle w:val="ListBullet"/>
      </w:pPr>
      <w:r>
        <w:rPr>
          <w:b/>
        </w:rPr>
        <w:t>Officers:</w:t>
      </w:r>
      <w:r>
        <w:t xml:space="preserve"> Chair, Vice-Chair, Secretary, Treasurer. May be</w:t>
      </w:r>
    </w:p>
    <w:p>
      <w:r>
        <w:t>combined except Chair/Secretary.</w:t>
      </w:r>
    </w:p>
    <w:p>
      <w:pPr>
        <w:pStyle w:val="ListBullet"/>
      </w:pPr>
      <w:r>
        <w:rPr>
          <w:b/>
        </w:rPr>
        <w:t>Committees:</w:t>
      </w:r>
      <w:r>
        <w:t xml:space="preserve"> Executive, Finance &amp; Audit, Governance,</w:t>
      </w:r>
    </w:p>
    <w:p>
      <w:r>
        <w:t>Programme, Ombudsman.</w:t>
      </w:r>
    </w:p>
    <w:p>
      <w:pPr>
        <w:pStyle w:val="ListBullet"/>
      </w:pPr>
      <w:r>
        <w:rPr>
          <w:b/>
        </w:rPr>
        <w:t>Indemnification:</w:t>
      </w:r>
      <w:r>
        <w:t xml:space="preserve"> to the fullest extent allowed by law; D&amp;O</w:t>
      </w:r>
    </w:p>
    <w:p>
      <w:r>
        <w:t>insurance maintained.</w:t>
      </w:r>
    </w:p>
    <w:p>
      <w:pPr>
        <w:pStyle w:val="ListBullet"/>
      </w:pPr>
      <w:r>
        <w:rPr>
          <w:b/>
        </w:rPr>
        <w:t>Amendments:</w:t>
      </w:r>
      <w:r>
        <w:t xml:space="preserve"> two-thirds vote at a duly noticed meeting.</w:t>
      </w:r>
    </w:p>
    <w:p/>
    <w:p>
      <w:pPr>
        <w:pStyle w:val="Heading2"/>
      </w:pPr>
      <w:r>
        <w:t>C. Conflict-of-Interest Policy</w:t>
      </w:r>
    </w:p>
    <w:p>
      <w:pPr>
        <w:pStyle w:val="ListBullet"/>
      </w:pPr>
      <w:r>
        <w:rPr>
          <w:b/>
        </w:rPr>
        <w:t>Duty to disclose.</w:t>
      </w:r>
      <w:r>
        <w:t xml:space="preserve"> Directors, Officers, and key employees</w:t>
      </w:r>
    </w:p>
    <w:p>
      <w:r>
        <w:t>disclose actual or potential conflicts on appointment and</w:t>
      </w:r>
    </w:p>
    <w:p>
      <w:r>
        <w:t>annually.</w:t>
      </w:r>
    </w:p>
    <w:p>
      <w:pPr>
        <w:pStyle w:val="ListBullet"/>
      </w:pPr>
      <w:r>
        <w:rPr>
          <w:b/>
        </w:rPr>
        <w:t>Recusal.</w:t>
      </w:r>
      <w:r>
        <w:t xml:space="preserve"> The conflicted person leaves the room during</w:t>
      </w:r>
    </w:p>
    <w:p>
      <w:r>
        <w:t>deliberation and vote.</w:t>
      </w:r>
    </w:p>
    <w:p>
      <w:pPr>
        <w:pStyle w:val="ListBullet"/>
      </w:pPr>
      <w:r>
        <w:rPr>
          <w:b/>
        </w:rPr>
        <w:t>Independent review.</w:t>
      </w:r>
      <w:r>
        <w:t xml:space="preserve"> The disinterested Board members determine</w:t>
      </w:r>
    </w:p>
    <w:p>
      <w:r>
        <w:t>whether the transaction is fair and reasonable.</w:t>
      </w:r>
    </w:p>
    <w:p>
      <w:pPr>
        <w:pStyle w:val="ListBullet"/>
      </w:pPr>
      <w:r>
        <w:rPr>
          <w:b/>
        </w:rPr>
        <w:t>Documentation.</w:t>
      </w:r>
      <w:r>
        <w:t xml:space="preserve"> Meeting minutes record the disclosure,</w:t>
      </w:r>
    </w:p>
    <w:p>
      <w:r>
        <w:t>recusal, deliberation, and vote.</w:t>
      </w:r>
    </w:p>
    <w:p>
      <w:pPr>
        <w:pStyle w:val="ListBullet"/>
      </w:pPr>
      <w:r>
        <w:rPr>
          <w:b/>
        </w:rPr>
        <w:t>Annual statement.</w:t>
      </w:r>
      <w:r>
        <w:t xml:space="preserve"> Signed by every Director, Officer, and</w:t>
      </w:r>
    </w:p>
    <w:p>
      <w:r>
        <w:t>applicable staff.</w:t>
      </w:r>
    </w:p>
    <w:p/>
    <w:p>
      <w:pPr>
        <w:pStyle w:val="Heading2"/>
      </w:pPr>
      <w:r>
        <w:t>D. Whistleblower Policy</w:t>
      </w:r>
    </w:p>
    <w:p>
      <w:pPr>
        <w:pStyle w:val="ListBullet"/>
      </w:pPr>
      <w:r>
        <w:rPr>
          <w:b/>
        </w:rPr>
        <w:t>Anyone</w:t>
      </w:r>
      <w:r>
        <w:t xml:space="preserve"> may report suspected wrongdoing in good faith.</w:t>
      </w:r>
    </w:p>
    <w:p>
      <w:pPr>
        <w:pStyle w:val="ListBullet"/>
      </w:pPr>
      <w:r>
        <w:rPr>
          <w:b/>
        </w:rPr>
        <w:t>Channels:</w:t>
      </w:r>
      <w:r>
        <w:t xml:space="preserve"> ombudsman@birthright.live or the reporting portal.</w:t>
      </w:r>
    </w:p>
    <w:p>
      <w:pPr>
        <w:pStyle w:val="ListBullet"/>
      </w:pPr>
      <w:r>
        <w:rPr>
          <w:b/>
        </w:rPr>
        <w:t>Anti-retaliation.</w:t>
      </w:r>
      <w:r>
        <w:t xml:space="preserve"> No adverse action against a good-faith</w:t>
      </w:r>
    </w:p>
    <w:p>
      <w:r>
        <w:t>reporter.</w:t>
      </w:r>
    </w:p>
    <w:p>
      <w:pPr>
        <w:pStyle w:val="ListBullet"/>
      </w:pPr>
      <w:r>
        <w:rPr>
          <w:b/>
        </w:rPr>
        <w:t>Investigation.</w:t>
      </w:r>
      <w:r>
        <w:t xml:space="preserve"> By a person outside the reporting line;</w:t>
      </w:r>
    </w:p>
    <w:p>
      <w:r>
        <w:t>outcomes reported to the Board's Finance &amp; Audit Committee.</w:t>
      </w:r>
    </w:p>
    <w:p>
      <w:pPr>
        <w:pStyle w:val="ListBullet"/>
      </w:pPr>
      <w:r>
        <w:rPr>
          <w:b/>
        </w:rPr>
        <w:t>Records</w:t>
      </w:r>
      <w:r>
        <w:t xml:space="preserve"> retained for seven (7) years.</w:t>
      </w:r>
    </w:p>
    <w:p/>
    <w:p>
      <w:pPr>
        <w:pStyle w:val="Heading2"/>
      </w:pPr>
      <w:r>
        <w:t>E. Records-Retention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Record 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Retention</w:t>
            </w:r>
          </w:p>
        </w:tc>
      </w:tr>
      <w:tr>
        <w:tc>
          <w:tcPr>
            <w:tcW w:type="dxa" w:w="4824"/>
          </w:tcPr>
          <w:p>
            <w:r/>
            <w:r>
              <w:t>Articles, Bylaws</w:t>
            </w:r>
          </w:p>
        </w:tc>
        <w:tc>
          <w:tcPr>
            <w:tcW w:type="dxa" w:w="4824"/>
          </w:tcPr>
          <w:p>
            <w:r/>
            <w:r>
              <w:t>Permanent</w:t>
            </w:r>
          </w:p>
        </w:tc>
      </w:tr>
      <w:tr>
        <w:tc>
          <w:tcPr>
            <w:tcW w:type="dxa" w:w="4824"/>
          </w:tcPr>
          <w:p>
            <w:r/>
            <w:r>
              <w:t>Board minutes</w:t>
            </w:r>
          </w:p>
        </w:tc>
        <w:tc>
          <w:tcPr>
            <w:tcW w:type="dxa" w:w="4824"/>
          </w:tcPr>
          <w:p>
            <w:r/>
            <w:r>
              <w:t>Permanent</w:t>
            </w:r>
          </w:p>
        </w:tc>
      </w:tr>
      <w:tr>
        <w:tc>
          <w:tcPr>
            <w:tcW w:type="dxa" w:w="4824"/>
          </w:tcPr>
          <w:p>
            <w:r/>
            <w:r>
              <w:t>Tax filings (Form 990)</w:t>
            </w:r>
          </w:p>
        </w:tc>
        <w:tc>
          <w:tcPr>
            <w:tcW w:type="dxa" w:w="4824"/>
          </w:tcPr>
          <w:p>
            <w:r/>
            <w:r>
              <w:t>Permanent</w:t>
            </w:r>
          </w:p>
        </w:tc>
      </w:tr>
      <w:tr>
        <w:tc>
          <w:tcPr>
            <w:tcW w:type="dxa" w:w="4824"/>
          </w:tcPr>
          <w:p>
            <w:r/>
            <w:r>
              <w:t>Financial statements</w:t>
            </w:r>
          </w:p>
        </w:tc>
        <w:tc>
          <w:tcPr>
            <w:tcW w:type="dxa" w:w="4824"/>
          </w:tcPr>
          <w:p>
            <w:r/>
            <w:r>
              <w:t>Permanent</w:t>
            </w:r>
          </w:p>
        </w:tc>
      </w:tr>
      <w:tr>
        <w:tc>
          <w:tcPr>
            <w:tcW w:type="dxa" w:w="4824"/>
          </w:tcPr>
          <w:p>
            <w:r/>
            <w:r>
              <w:t>General ledger</w:t>
            </w:r>
          </w:p>
        </w:tc>
        <w:tc>
          <w:tcPr>
            <w:tcW w:type="dxa" w:w="4824"/>
          </w:tcPr>
          <w:p>
            <w:r/>
            <w:r>
              <w:t>7 years</w:t>
            </w:r>
          </w:p>
        </w:tc>
      </w:tr>
      <w:tr>
        <w:tc>
          <w:tcPr>
            <w:tcW w:type="dxa" w:w="4824"/>
          </w:tcPr>
          <w:p>
            <w:r/>
            <w:r>
              <w:t>Contracts (active)</w:t>
            </w:r>
          </w:p>
        </w:tc>
        <w:tc>
          <w:tcPr>
            <w:tcW w:type="dxa" w:w="4824"/>
          </w:tcPr>
          <w:p>
            <w:r/>
            <w:r>
              <w:t>Term + 7 years</w:t>
            </w:r>
          </w:p>
        </w:tc>
      </w:tr>
      <w:tr>
        <w:tc>
          <w:tcPr>
            <w:tcW w:type="dxa" w:w="4824"/>
          </w:tcPr>
          <w:p>
            <w:r/>
            <w:r>
              <w:t>Payroll</w:t>
            </w:r>
          </w:p>
        </w:tc>
        <w:tc>
          <w:tcPr>
            <w:tcW w:type="dxa" w:w="4824"/>
          </w:tcPr>
          <w:p>
            <w:r/>
            <w:r>
              <w:t>7 years</w:t>
            </w:r>
          </w:p>
        </w:tc>
      </w:tr>
      <w:tr>
        <w:tc>
          <w:tcPr>
            <w:tcW w:type="dxa" w:w="4824"/>
          </w:tcPr>
          <w:p>
            <w:r/>
            <w:r>
              <w:t>Personnel</w:t>
            </w:r>
          </w:p>
        </w:tc>
        <w:tc>
          <w:tcPr>
            <w:tcW w:type="dxa" w:w="4824"/>
          </w:tcPr>
          <w:p>
            <w:r/>
            <w:r>
              <w:t>Term + 7 years</w:t>
            </w:r>
          </w:p>
        </w:tc>
      </w:tr>
      <w:tr>
        <w:tc>
          <w:tcPr>
            <w:tcW w:type="dxa" w:w="4824"/>
          </w:tcPr>
          <w:p>
            <w:r/>
            <w:r>
              <w:t>Grant files</w:t>
            </w:r>
          </w:p>
        </w:tc>
        <w:tc>
          <w:tcPr>
            <w:tcW w:type="dxa" w:w="4824"/>
          </w:tcPr>
          <w:p>
            <w:r/>
            <w:r>
              <w:t>Term + 7 years</w:t>
            </w:r>
          </w:p>
        </w:tc>
      </w:tr>
      <w:tr>
        <w:tc>
          <w:tcPr>
            <w:tcW w:type="dxa" w:w="4824"/>
          </w:tcPr>
          <w:p>
            <w:r/>
            <w:r>
              <w:t>Marketing consent</w:t>
            </w:r>
          </w:p>
        </w:tc>
        <w:tc>
          <w:tcPr>
            <w:tcW w:type="dxa" w:w="4824"/>
          </w:tcPr>
          <w:p>
            <w:r/>
            <w:r>
              <w:t>Consent + 2 years</w:t>
            </w:r>
          </w:p>
        </w:tc>
      </w:tr>
      <w:tr>
        <w:tc>
          <w:tcPr>
            <w:tcW w:type="dxa" w:w="4824"/>
          </w:tcPr>
          <w:p>
            <w:r/>
            <w:r>
              <w:t>Security-audit logs</w:t>
            </w:r>
          </w:p>
        </w:tc>
        <w:tc>
          <w:tcPr>
            <w:tcW w:type="dxa" w:w="4824"/>
          </w:tcPr>
          <w:p>
            <w:r/>
            <w:r>
              <w:t>365 days</w:t>
            </w:r>
          </w:p>
        </w:tc>
      </w:tr>
      <w:tr>
        <w:tc>
          <w:tcPr>
            <w:tcW w:type="dxa" w:w="4824"/>
          </w:tcPr>
          <w:p>
            <w:r/>
            <w:r>
              <w:t>Ordinary email</w:t>
            </w:r>
          </w:p>
        </w:tc>
        <w:tc>
          <w:tcPr>
            <w:tcW w:type="dxa" w:w="4824"/>
          </w:tcPr>
          <w:p>
            <w:r/>
            <w:r>
              <w:t>3 years</w:t>
            </w:r>
          </w:p>
        </w:tc>
      </w:tr>
    </w:tbl>
    <w:p/>
    <w:p>
      <w:r>
        <w:t>Records are destroyed by a documented, method-appropriate process</w:t>
      </w:r>
    </w:p>
    <w:p>
      <w:r>
        <w:t>(secure shred for paper, cryptographic wipe or delete + retention</w:t>
      </w:r>
    </w:p>
    <w:p>
      <w:r>
        <w:t>purge for electronic).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