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COUNSEL REVIEW PLAN**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is Birthright Foundation's proposed review plan for outside</w:t>
      </w:r>
    </w:p>
    <w:p>
      <w:pPr>
        <w:ind w:left="288"/>
      </w:pPr>
      <w:r>
        <w:rPr>
          <w:i/>
          <w:color w:val="7C5316"/>
        </w:rPr>
        <w:t>counsel. It segments every legal instrument into **Essential**</w:t>
      </w:r>
    </w:p>
    <w:p>
      <w:pPr>
        <w:ind w:left="288"/>
      </w:pPr>
      <w:r>
        <w:rPr>
          <w:i/>
          <w:color w:val="7C5316"/>
        </w:rPr>
        <w:t>(must review and ratify before any binding use) and **Optional**</w:t>
      </w:r>
    </w:p>
    <w:p>
      <w:pPr>
        <w:ind w:left="288"/>
      </w:pPr>
      <w:r>
        <w:rPr>
          <w:i/>
          <w:color w:val="7C5316"/>
        </w:rPr>
        <w:t>(nice-to-have polish; can be signed off later or in batch).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Time estimates assume a competent generalist attorney reading</w:t>
      </w:r>
    </w:p>
    <w:p>
      <w:pPr>
        <w:ind w:left="288"/>
      </w:pPr>
      <w:r>
        <w:rPr>
          <w:i/>
          <w:color w:val="7C5316"/>
        </w:rPr>
        <w:t>the current first drafts (which are already in accepted standard</w:t>
      </w:r>
    </w:p>
    <w:p>
      <w:pPr>
        <w:ind w:left="288"/>
      </w:pPr>
      <w:r>
        <w:rPr>
          <w:i/>
          <w:color w:val="7C5316"/>
        </w:rPr>
        <w:t>boilerplate). They are budgeting numbers, not commitments.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</w:t>
      </w:r>
    </w:p>
    <w:p>
      <w:pPr>
        <w:pStyle w:val="Heading1"/>
      </w:pPr>
      <w:r>
        <w:t>Counsel Review Plan — Segmented Effort &amp; Time Budget</w:t>
      </w:r>
    </w:p>
    <w:p>
      <w:pPr>
        <w:pStyle w:val="Heading2"/>
      </w:pPr>
      <w:r>
        <w:t>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Segment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Time (min)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Hours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Essential — Section A</w:t>
            </w:r>
            <w:r>
              <w:t xml:space="preserve"> (public + revenue)</w:t>
            </w:r>
          </w:p>
        </w:tc>
        <w:tc>
          <w:tcPr>
            <w:tcW w:type="dxa" w:w="3216"/>
          </w:tcPr>
          <w:p>
            <w:r/>
            <w:r>
              <w:t>635</w:t>
            </w:r>
          </w:p>
        </w:tc>
        <w:tc>
          <w:tcPr>
            <w:tcW w:type="dxa" w:w="3216"/>
          </w:tcPr>
          <w:p>
            <w:r/>
            <w:r>
              <w:t>10.6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Essential — Section B</w:t>
            </w:r>
            <w:r>
              <w:t xml:space="preserve"> (governance)</w:t>
            </w:r>
          </w:p>
        </w:tc>
        <w:tc>
          <w:tcPr>
            <w:tcW w:type="dxa" w:w="3216"/>
          </w:tcPr>
          <w:p>
            <w:r/>
            <w:r>
              <w:t>320</w:t>
            </w:r>
          </w:p>
        </w:tc>
        <w:tc>
          <w:tcPr>
            <w:tcW w:type="dxa" w:w="3216"/>
          </w:tcPr>
          <w:p>
            <w:r/>
            <w:r>
              <w:t>5.3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Essential subtotal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955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15.9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Optional — Section C</w:t>
            </w:r>
            <w:r>
              <w:t xml:space="preserve"> (partner niches)</w:t>
            </w:r>
          </w:p>
        </w:tc>
        <w:tc>
          <w:tcPr>
            <w:tcW w:type="dxa" w:w="3216"/>
          </w:tcPr>
          <w:p>
            <w:r/>
            <w:r>
              <w:t>200</w:t>
            </w:r>
          </w:p>
        </w:tc>
        <w:tc>
          <w:tcPr>
            <w:tcW w:type="dxa" w:w="3216"/>
          </w:tcPr>
          <w:p>
            <w:r/>
            <w:r>
              <w:t>3.3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Optional — Section D</w:t>
            </w:r>
            <w:r>
              <w:t xml:space="preserve"> (internal plans)</w:t>
            </w:r>
          </w:p>
        </w:tc>
        <w:tc>
          <w:tcPr>
            <w:tcW w:type="dxa" w:w="3216"/>
          </w:tcPr>
          <w:p>
            <w:r/>
            <w:r>
              <w:t>170</w:t>
            </w:r>
          </w:p>
        </w:tc>
        <w:tc>
          <w:tcPr>
            <w:tcW w:type="dxa" w:w="3216"/>
          </w:tcPr>
          <w:p>
            <w:r/>
            <w:r>
              <w:t>2.8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Optional subtotal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370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6.2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Grand total (all 22 instruments)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1,325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22.1</w:t>
            </w:r>
          </w:p>
        </w:tc>
      </w:tr>
    </w:tbl>
    <w:p/>
    <w:p>
      <w:r>
        <w:t>Reading assumption: 22 documents, average ~3–4 pages each, plus one</w:t>
      </w:r>
    </w:p>
    <w:p>
      <w:r>
        <w:t>"Nonprofit Governance Bundle" doc that is really five sub-instruments</w:t>
      </w:r>
    </w:p>
    <w:p>
      <w:r>
        <w:t>budgeted separately. The ISTV memo is an advisory memo, not a</w:t>
      </w:r>
    </w:p>
    <w:p>
      <w:r>
        <w:t>contract — it is included for context only.</w:t>
      </w:r>
    </w:p>
    <w:p>
      <w:r>
        <w:rPr>
          <w:b/>
        </w:rPr>
        <w:t>Recommended sequencing</w:t>
      </w:r>
    </w:p>
    <w:p>
      <w:pPr>
        <w:pStyle w:val="ListNumber"/>
      </w:pPr>
      <w:r>
        <w:rPr>
          <w:b/>
        </w:rPr>
        <w:t>Ratify Section A first</w:t>
      </w:r>
      <w:r>
        <w:t xml:space="preserve"> (10.6 hrs) — every public-facing +</w:t>
      </w:r>
    </w:p>
    <w:p>
      <w:r>
        <w:t>revenue-adjacent document. Nothing user-hits or partner-hits</w:t>
      </w:r>
    </w:p>
    <w:p>
      <w:r>
        <w:t>without a Section A ratification.</w:t>
      </w:r>
    </w:p>
    <w:p>
      <w:pPr>
        <w:pStyle w:val="ListNumber"/>
      </w:pPr>
      <w:r>
        <w:rPr>
          <w:b/>
        </w:rPr>
        <w:t>Ratify Section B next</w:t>
      </w:r>
      <w:r>
        <w:t xml:space="preserve"> (5.3 hrs) — governance bundle. Needed</w:t>
      </w:r>
    </w:p>
    <w:p>
      <w:r>
        <w:t>before board seats are filled and before D&amp;O policy binds.</w:t>
      </w:r>
    </w:p>
    <w:p>
      <w:pPr>
        <w:pStyle w:val="ListNumber"/>
      </w:pPr>
      <w:r>
        <w:rPr>
          <w:b/>
        </w:rPr>
        <w:t>Ratify Section C in batches</w:t>
      </w:r>
      <w:r>
        <w:t xml:space="preserve"> as those partner types onboard.</w:t>
      </w:r>
    </w:p>
    <w:p>
      <w:pPr>
        <w:pStyle w:val="ListNumber"/>
      </w:pPr>
      <w:r>
        <w:rPr>
          <w:b/>
        </w:rPr>
        <w:t>Section D is planning material</w:t>
      </w:r>
      <w:r>
        <w:t xml:space="preserve"> — can be sanity-checked with</w:t>
      </w:r>
    </w:p>
    <w:p>
      <w:r>
        <w:t>the compliance vendor rather than counsel.</w:t>
      </w:r>
    </w:p>
    <w:p/>
    <w:p>
      <w:pPr>
        <w:pStyle w:val="Heading2"/>
      </w:pPr>
      <w:r>
        <w:t>Section A — Essential · Public-Facing &amp; Revenue (635 min · 10.6 hrs)</w:t>
      </w:r>
    </w:p>
    <w:p>
      <w:r>
        <w:t>The five documents any real user or partner actually reads or signs.</w:t>
      </w:r>
    </w:p>
    <w:p>
      <w:r>
        <w:t>Ratifying these unblocks the entire consumer-facing product.</w:t>
      </w:r>
    </w:p>
    <w:p>
      <w:pPr>
        <w:pStyle w:val="Heading3"/>
      </w:pPr>
      <w:r>
        <w:t>A1 · Terms of Service (`01-terms-of-service`)</w:t>
      </w:r>
    </w:p>
    <w:p>
      <w:r>
        <w:t>Standard 16-section consumer terms. AI clause, arbitration jurisdiction,</w:t>
      </w:r>
    </w:p>
    <w:p>
      <w:r>
        <w:t>sliding-scale, and print-partner data sharing are the non-standard bits.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3216"/>
          </w:tcPr>
          <w:p>
            <w:r/>
            <w:r>
              <w:t>§§1–4 Acceptance / eligibility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Boilerplate</w:t>
            </w:r>
          </w:p>
        </w:tc>
      </w:tr>
      <w:tr>
        <w:tc>
          <w:tcPr>
            <w:tcW w:type="dxa" w:w="3216"/>
          </w:tcPr>
          <w:p>
            <w:r/>
            <w:r>
              <w:t>§5 Products / workshops / AI wallet</w:t>
            </w:r>
          </w:p>
        </w:tc>
        <w:tc>
          <w:tcPr>
            <w:tcW w:type="dxa" w:w="3216"/>
          </w:tcPr>
          <w:p>
            <w:r/>
            <w:r>
              <w:t>15</w:t>
            </w:r>
          </w:p>
        </w:tc>
        <w:tc>
          <w:tcPr>
            <w:tcW w:type="dxa" w:w="3216"/>
          </w:tcPr>
          <w:p>
            <w:r/>
            <w:r>
              <w:t>Confirm merchant + POD flow-through language</w:t>
            </w:r>
          </w:p>
        </w:tc>
      </w:tr>
      <w:tr>
        <w:tc>
          <w:tcPr>
            <w:tcW w:type="dxa" w:w="3216"/>
          </w:tcPr>
          <w:p>
            <w:r/>
            <w:r>
              <w:t>§6 Conduct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Standard</w:t>
            </w:r>
          </w:p>
        </w:tc>
      </w:tr>
      <w:tr>
        <w:tc>
          <w:tcPr>
            <w:tcW w:type="dxa" w:w="3216"/>
          </w:tcPr>
          <w:p>
            <w:r/>
            <w:r>
              <w:t>§7 UGC licence</w:t>
            </w:r>
          </w:p>
        </w:tc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Confirm sublicensable scope</w:t>
            </w:r>
          </w:p>
        </w:tc>
      </w:tr>
      <w:tr>
        <w:tc>
          <w:tcPr>
            <w:tcW w:type="dxa" w:w="3216"/>
          </w:tcPr>
          <w:p>
            <w:r/>
            <w:r>
              <w:t>§8 AI features</w:t>
            </w:r>
          </w:p>
        </w:tc>
        <w:tc>
          <w:tcPr>
            <w:tcW w:type="dxa" w:w="3216"/>
          </w:tcPr>
          <w:p>
            <w:r/>
            <w:r>
              <w:t>10</w:t>
            </w:r>
          </w:p>
        </w:tc>
        <w:tc>
          <w:tcPr>
            <w:tcW w:type="dxa" w:w="3216"/>
          </w:tcPr>
          <w:p>
            <w:r/>
            <w:r>
              <w:t>Non-standard — human-in-loop wording</w:t>
            </w:r>
          </w:p>
        </w:tc>
      </w:tr>
      <w:tr>
        <w:tc>
          <w:tcPr>
            <w:tcW w:type="dxa" w:w="3216"/>
          </w:tcPr>
          <w:p>
            <w:r/>
            <w:r>
              <w:t>§9 Payments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Stripe scoping</w:t>
            </w:r>
          </w:p>
        </w:tc>
      </w:tr>
      <w:tr>
        <w:tc>
          <w:tcPr>
            <w:tcW w:type="dxa" w:w="3216"/>
          </w:tcPr>
          <w:p>
            <w:r/>
            <w:r>
              <w:t>§§10–13 Termination / warranty / liability / indemnity</w:t>
            </w:r>
          </w:p>
        </w:tc>
        <w:tc>
          <w:tcPr>
            <w:tcW w:type="dxa" w:w="3216"/>
          </w:tcPr>
          <w:p>
            <w:r/>
            <w:r>
              <w:t>15</w:t>
            </w:r>
          </w:p>
        </w:tc>
        <w:tc>
          <w:tcPr>
            <w:tcW w:type="dxa" w:w="3216"/>
          </w:tcPr>
          <w:p>
            <w:r/>
            <w:r>
              <w:t>Standard limitation-of-liability, confirm $ cap</w:t>
            </w:r>
          </w:p>
        </w:tc>
      </w:tr>
      <w:tr>
        <w:tc>
          <w:tcPr>
            <w:tcW w:type="dxa" w:w="3216"/>
          </w:tcPr>
          <w:p>
            <w:r/>
            <w:r>
              <w:t>§14 Governing law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Confirm NC choice</w:t>
            </w:r>
          </w:p>
        </w:tc>
      </w:tr>
      <w:tr>
        <w:tc>
          <w:tcPr>
            <w:tcW w:type="dxa" w:w="3216"/>
          </w:tcPr>
          <w:p>
            <w:r/>
            <w:r>
              <w:t>§§15–16 Change control / contact</w:t>
            </w:r>
          </w:p>
        </w:tc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Standard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75</w:t>
            </w:r>
          </w:p>
        </w:tc>
        <w:tc>
          <w:tcPr>
            <w:tcW w:type="dxa" w:w="3216"/>
          </w:tcPr>
          <w:p>
            <w:r/>
          </w:p>
        </w:tc>
      </w:tr>
    </w:tbl>
    <w:p/>
    <w:p>
      <w:pPr>
        <w:pStyle w:val="Heading3"/>
      </w:pPr>
      <w:r>
        <w:t>A2 · Privacy Policy (`02-privacy-policy`)</w:t>
      </w:r>
    </w:p>
    <w:p>
      <w:r>
        <w:t>CCPA + GDPR-lite. The lawful-bases + subprocessor list is where</w:t>
      </w:r>
    </w:p>
    <w:p>
      <w:r>
        <w:t>attention is due.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§§1–3 Data + purposes + bases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§4 Subprocessor list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§5 Retention schedule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§6 Rights + DSAR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§7 Security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§§8–10 Children / AI / changes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§11 Contact + DPO reference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85</w:t>
            </w:r>
          </w:p>
        </w:tc>
      </w:tr>
    </w:tbl>
    <w:p/>
    <w:p>
      <w:pPr>
        <w:pStyle w:val="Heading3"/>
      </w:pPr>
      <w:r>
        <w:t>A3 · Cookie &amp; Tracking Notice (`03-cookie-notice`)</w:t>
      </w:r>
    </w:p>
    <w:p>
      <w:r>
        <w:t>Short. Focus on the third-party provider table and consent mechanics.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Categories + controls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Third-party table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Retention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25</w:t>
            </w:r>
          </w:p>
        </w:tc>
      </w:tr>
    </w:tbl>
    <w:p/>
    <w:p>
      <w:pPr>
        <w:pStyle w:val="Heading3"/>
      </w:pPr>
      <w:r>
        <w:t>A4 · Universal Indemnification / Hold-Harmless (`04-indemnification-hold-harmless`)</w:t>
      </w:r>
    </w:p>
    <w:p>
      <w:r>
        <w:t>Signed by every workshop participant + partner. This is a real waiver — read carefully.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§§1–2 Voluntary + no-advice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§3 Hold-harmless scope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§4 Indemnity by user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§§5–8 Data / conduct / version / law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Enforceability under NC law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60</w:t>
            </w:r>
          </w:p>
        </w:tc>
      </w:tr>
    </w:tbl>
    <w:p/>
    <w:p>
      <w:pPr>
        <w:pStyle w:val="Heading3"/>
      </w:pPr>
      <w:r>
        <w:t>A5 · Refund &amp; Returns Policy (`15-refund-returns-policy`)</w:t>
      </w:r>
    </w:p>
    <w:p>
      <w:r>
        <w:t>Consumer-facing. EU withdrawal + POD-vs-stock rules are the risk points.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Products (POD vs stock)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Workshops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Subscriptions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AI wallet + sponsorships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EU/UK withdrawal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45</w:t>
            </w:r>
          </w:p>
        </w:tc>
      </w:tr>
    </w:tbl>
    <w:p/>
    <w:p>
      <w:pPr>
        <w:pStyle w:val="Heading3"/>
      </w:pPr>
      <w:r>
        <w:t>A6 · Facilitator Services Agreement + IP Assignment (`05-facilitator-services-agreement`)</w:t>
      </w:r>
    </w:p>
    <w:p>
      <w:r>
        <w:t>Revenue-critical + IC classification.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§1 IC relationship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§§2–3 Services + fees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§4 Standards of care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§5 IP (BF licence + assignment)</w:t>
            </w:r>
          </w:p>
        </w:tc>
        <w:tc>
          <w:tcPr>
            <w:tcW w:type="dxa" w:w="4824"/>
          </w:tcPr>
          <w:p>
            <w:r/>
            <w:r>
              <w:t>25</w:t>
            </w:r>
          </w:p>
        </w:tc>
      </w:tr>
      <w:tr>
        <w:tc>
          <w:tcPr>
            <w:tcW w:type="dxa" w:w="4824"/>
          </w:tcPr>
          <w:p>
            <w:r/>
            <w:r>
              <w:t>§6 Confidentiality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§§7–11 Term / indemnity / non-solicit / law</w:t>
            </w:r>
          </w:p>
        </w:tc>
        <w:tc>
          <w:tcPr>
            <w:tcW w:type="dxa" w:w="4824"/>
          </w:tcPr>
          <w:p>
            <w:r/>
            <w:r>
              <w:t>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90</w:t>
            </w:r>
          </w:p>
        </w:tc>
      </w:tr>
    </w:tbl>
    <w:p/>
    <w:p>
      <w:pPr>
        <w:pStyle w:val="Heading3"/>
      </w:pPr>
      <w:r>
        <w:t>A7 · Artist Consignment Agreement (`06-artist-consignment-agreement`)</w:t>
      </w:r>
    </w:p>
    <w:p>
      <w:r>
        <w:t>Title + 20% Foundation gift are custom terms.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§§1–3 Relationship + list + pricing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§§4–5 Fulfilment + returns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§6 IP + publicity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§§7–10 Payouts / term / indemnity / law</w:t>
            </w:r>
          </w:p>
        </w:tc>
        <w:tc>
          <w:tcPr>
            <w:tcW w:type="dxa" w:w="4824"/>
          </w:tcPr>
          <w:p>
            <w:r/>
            <w:r>
              <w:t>25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70</w:t>
            </w:r>
          </w:p>
        </w:tc>
      </w:tr>
    </w:tbl>
    <w:p/>
    <w:p>
      <w:pPr>
        <w:pStyle w:val="Heading3"/>
      </w:pPr>
      <w:r>
        <w:t>A8 · Vendor Supplier / Dropship Agreement (`07-vendor-supplier-agreement`)</w:t>
      </w:r>
    </w:p>
    <w:p>
      <w:r>
        <w:t>Product-liability + insurance clause needs local counsel eye.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§§1–4 Relationship + listings + prices + fulfilment</w:t>
            </w:r>
          </w:p>
        </w:tc>
        <w:tc>
          <w:tcPr>
            <w:tcW w:type="dxa" w:w="4824"/>
          </w:tcPr>
          <w:p>
            <w:r/>
            <w:r>
              <w:t>30</w:t>
            </w:r>
          </w:p>
        </w:tc>
      </w:tr>
      <w:tr>
        <w:tc>
          <w:tcPr>
            <w:tcW w:type="dxa" w:w="4824"/>
          </w:tcPr>
          <w:p>
            <w:r/>
            <w:r>
              <w:t>§5 Warranty + returns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§6 IP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§§7–10 Payouts / indemnity / insurance / law</w:t>
            </w:r>
          </w:p>
        </w:tc>
        <w:tc>
          <w:tcPr>
            <w:tcW w:type="dxa" w:w="4824"/>
          </w:tcPr>
          <w:p>
            <w:r/>
            <w:r>
              <w:t>30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85</w:t>
            </w:r>
          </w:p>
        </w:tc>
      </w:tr>
    </w:tbl>
    <w:p/>
    <w:p>
      <w:pPr>
        <w:pStyle w:val="Heading3"/>
      </w:pPr>
      <w:r>
        <w:t>A9 · Community Partner Referral Agreement (`08-community-partner-referral-agreement`)</w:t>
      </w:r>
    </w:p>
    <w:p>
      <w:r>
        <w:t>Straightforward marketing standards + attribution.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§§1–5 IC / referral / comp / marketing</w:t>
            </w:r>
          </w:p>
        </w:tc>
        <w:tc>
          <w:tcPr>
            <w:tcW w:type="dxa" w:w="4824"/>
          </w:tcPr>
          <w:p>
            <w:r/>
            <w:r>
              <w:t>30</w:t>
            </w:r>
          </w:p>
        </w:tc>
      </w:tr>
      <w:tr>
        <w:tc>
          <w:tcPr>
            <w:tcW w:type="dxa" w:w="4824"/>
          </w:tcPr>
          <w:p>
            <w:r/>
            <w:r>
              <w:t>§§6–9 Term / IP / indemnity / law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50</w:t>
            </w:r>
          </w:p>
        </w:tc>
      </w:tr>
    </w:tbl>
    <w:p/>
    <w:p>
      <w:pPr>
        <w:pStyle w:val="Heading3"/>
      </w:pPr>
      <w:r>
        <w:t>A10 · Sponsorship Agreement / Recognition Consent (`09-sponsorship-agreement`)</w:t>
      </w:r>
    </w:p>
    <w:p>
      <w:r>
        <w:t>Tax-status disclosure + recognition licence.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Pledge + tax status (§§1–2)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Recognition + logo licence (§§3–4)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Non-endorsement + refunds (§§5–6)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Contingency + confidentiality (§§7–8)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50</w:t>
            </w:r>
          </w:p>
        </w:tc>
      </w:tr>
    </w:tbl>
    <w:p/>
    <w:p>
      <w:r>
        <w:rPr>
          <w:b/>
        </w:rPr>
        <w:t>Section A subtotal: 635 minutes (10 hours 35 minutes)</w:t>
      </w:r>
    </w:p>
    <w:p/>
    <w:p>
      <w:pPr>
        <w:pStyle w:val="Heading2"/>
      </w:pPr>
      <w:r>
        <w:t>Section B — Essential · Governance (320 min · 5.3 hrs)</w:t>
      </w:r>
    </w:p>
    <w:p>
      <w:r>
        <w:t>Needed before the Board seats fill and before D&amp;O binds. Also needed to</w:t>
      </w:r>
    </w:p>
    <w:p>
      <w:r>
        <w:t>support the 501(c)(3) submission.</w:t>
      </w:r>
    </w:p>
    <w:p>
      <w:pPr>
        <w:pStyle w:val="Heading3"/>
      </w:pPr>
      <w:r>
        <w:t>B1 · Board Member / Officer Agreement + D&amp;O (`11-board-officer-agreement`)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§§1–3 Role / term / fiduciary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§4 Conflicts (link to policy)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§5 Confidentiality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§§6–7 Compensation / time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§8 Indemnification + D&amp;O terms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§§9–10 Removal + law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70</w:t>
            </w:r>
          </w:p>
        </w:tc>
      </w:tr>
    </w:tbl>
    <w:p/>
    <w:p>
      <w:pPr>
        <w:pStyle w:val="Heading3"/>
      </w:pPr>
      <w:r>
        <w:t>B2 · Volunteer Agreement (`12-volunteer-agreement`)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Scope + IP + confidentiality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Safety + insurance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Data / law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40</w:t>
            </w:r>
          </w:p>
        </w:tc>
      </w:tr>
    </w:tbl>
    <w:p/>
    <w:p>
      <w:pPr>
        <w:pStyle w:val="Heading3"/>
      </w:pPr>
      <w:r>
        <w:t>B3 · Ombudsman Charter (`13-ombudsman-charter`)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IOA standards + scope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Confidentiality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Independence + records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30</w:t>
            </w:r>
          </w:p>
        </w:tc>
      </w:tr>
    </w:tbl>
    <w:p/>
    <w:p>
      <w:pPr>
        <w:pStyle w:val="Heading3"/>
      </w:pPr>
      <w:r>
        <w:t>B4 · Community Standards / Content Moderation Policy (`14-community-standards`)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Prohibited content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Handle-with-care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Enforcement ladder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Reporting + appeals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DSA scope check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40</w:t>
            </w:r>
          </w:p>
        </w:tc>
      </w:tr>
    </w:tbl>
    <w:p/>
    <w:p>
      <w:pPr>
        <w:pStyle w:val="Heading3"/>
      </w:pPr>
      <w:r>
        <w:t>B5 · Sliding-Scale &amp; Scholarship Terms (`10-sliding-scale-scholarship-terms`)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Tier definitions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Scholarship + refunds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15</w:t>
            </w:r>
          </w:p>
        </w:tc>
      </w:tr>
    </w:tbl>
    <w:p/>
    <w:p>
      <w:pPr>
        <w:pStyle w:val="Heading3"/>
      </w:pPr>
      <w:r>
        <w:t>B6 · Data Processing Agreement Template (`19-data-processing-agreement-template`)</w:t>
      </w:r>
    </w:p>
    <w:p>
      <w:r>
        <w:t>GDPR Art. 28 template. Read once — reused per subprocessor.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§§1–4 Scope / subprocessors / security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§5 Breach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§§6–8 DSAR / transfers / audit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§§9–11 Return / liability / law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Annexes 1 + 2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70</w:t>
            </w:r>
          </w:p>
        </w:tc>
      </w:tr>
    </w:tbl>
    <w:p/>
    <w:p>
      <w:pPr>
        <w:pStyle w:val="Heading3"/>
      </w:pPr>
      <w:r>
        <w:t>B7 · Nonprofit Governance Bundle (`20-nonprofit-governance-bundle`)</w:t>
      </w:r>
    </w:p>
    <w:p>
      <w:r>
        <w:t>Five sub-instruments. Break them out: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Sub-doc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A · Articles of Incorporation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B · Bylaws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C · Conflict-of-Interest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D · Whistleblower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t>E · Records Retention</w:t>
            </w:r>
          </w:p>
        </w:tc>
        <w:tc>
          <w:tcPr>
            <w:tcW w:type="dxa" w:w="4824"/>
          </w:tcPr>
          <w:p>
            <w:r/>
            <w:r>
              <w:t>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55</w:t>
            </w:r>
          </w:p>
        </w:tc>
      </w:tr>
    </w:tbl>
    <w:p/>
    <w:p>
      <w:r>
        <w:rPr>
          <w:b/>
        </w:rPr>
        <w:t>Section B subtotal: 320 minutes (5 hours 20 minutes)</w:t>
      </w:r>
    </w:p>
    <w:p/>
    <w:p>
      <w:pPr>
        <w:pStyle w:val="Heading2"/>
      </w:pPr>
      <w:r>
        <w:t>Section C — Optional · Partner Niches (200 min · 3.3 hrs)</w:t>
      </w:r>
    </w:p>
    <w:p>
      <w:r>
        <w:t>None of these blocks a launch. Batch-review when the corresponding</w:t>
      </w:r>
    </w:p>
    <w:p>
      <w:r>
        <w:t>partner type onboards.</w:t>
      </w:r>
    </w:p>
    <w:p>
      <w:pPr>
        <w:pStyle w:val="Heading3"/>
      </w:pPr>
      <w:r>
        <w:t>C1 · Sponsor Recognition Consent (already batched into A10 — no extra time)</w:t>
      </w:r>
    </w:p>
    <w:p>
      <w:pPr>
        <w:pStyle w:val="Heading3"/>
      </w:pPr>
      <w:r>
        <w:t>C2 · Steward Volunteer Agreement (already covered by B2 — no extra time)</w:t>
      </w:r>
    </w:p>
    <w:p>
      <w:pPr>
        <w:pStyle w:val="Heading3"/>
      </w:pPr>
      <w:r>
        <w:t>C3 · Research Collaborator Honoraria Rider — **to be drafted** — 45</w:t>
      </w:r>
    </w:p>
    <w:p>
      <w:r>
        <w:t>Standalone honoraria payment terms + IP licence for research artifacts.</w:t>
      </w:r>
    </w:p>
    <w:p>
      <w:pPr>
        <w:pStyle w:val="Heading3"/>
      </w:pPr>
      <w:r>
        <w:t>C4 · Founding Partner Uplift Rider — **to be drafted** — 30</w:t>
      </w:r>
    </w:p>
    <w:p>
      <w:r>
        <w:t>Documents the 5% margin uplift for 5 years granted to founding vendors.</w:t>
      </w:r>
    </w:p>
    <w:p>
      <w:pPr>
        <w:pStyle w:val="Heading3"/>
      </w:pPr>
      <w:r>
        <w:t>C5 · Print-Partner Sub-DPA (Printful) — 40</w:t>
      </w:r>
    </w:p>
    <w:p>
      <w:r>
        <w:t>Adapt DPA template to Printful's data-processing terms.</w:t>
      </w:r>
    </w:p>
    <w:p>
      <w:pPr>
        <w:pStyle w:val="Heading3"/>
      </w:pPr>
      <w:r>
        <w:t>C6 · Print-Partner Sub-DPA (Lulu) — 30</w:t>
      </w:r>
    </w:p>
    <w:p>
      <w:r>
        <w:t>Adapt DPA template to Lulu.</w:t>
      </w:r>
    </w:p>
    <w:p>
      <w:pPr>
        <w:pStyle w:val="Heading3"/>
      </w:pPr>
      <w:r>
        <w:t>C7 · Facilitator Curriculum Licence Rider — **to be drafted** — 30</w:t>
      </w:r>
    </w:p>
    <w:p>
      <w:r>
        <w:t>For facilitators licensing outside-created curricula into the platform.</w:t>
      </w:r>
    </w:p>
    <w:p>
      <w:pPr>
        <w:pStyle w:val="Heading3"/>
      </w:pPr>
      <w:r>
        <w:t>C8 · AI-Generated Content Policy — **to be drafted** — 25</w:t>
      </w:r>
    </w:p>
    <w:p>
      <w:r>
        <w:t>Human-authorship documentation for any AI-composited works we do</w:t>
      </w:r>
    </w:p>
    <w:p>
      <w:r>
        <w:t>attempt to register.</w:t>
      </w:r>
    </w:p>
    <w:p>
      <w:r>
        <w:rPr>
          <w:b/>
        </w:rPr>
        <w:t>Section C subtotal: 200 minutes (3 hours 20 minutes)</w:t>
      </w:r>
    </w:p>
    <w:p/>
    <w:p>
      <w:pPr>
        <w:pStyle w:val="Heading2"/>
      </w:pPr>
      <w:r>
        <w:t>Section D — Optional · Internal Compliance Plans (170 min · 2.8 hrs)</w:t>
      </w:r>
    </w:p>
    <w:p>
      <w:r>
        <w:t>These are planning documents, not binding contracts. Ideal for</w:t>
      </w:r>
    </w:p>
    <w:p>
      <w:r>
        <w:t>sign-off by a compliance vendor (Harbor Compliance, Labyrinth, or</w:t>
      </w:r>
    </w:p>
    <w:p>
      <w:r>
        <w:t>Foundation Group), not counsel.</w:t>
      </w:r>
    </w:p>
    <w:p>
      <w:pPr>
        <w:pStyle w:val="Heading3"/>
      </w:pPr>
      <w:r>
        <w:t>D1 · Sales-Tax Registration Plan (`16-sales-tax-registration-plan`)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Nexus + monitoring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Product taxability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Marketplace facilitator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40</w:t>
            </w:r>
          </w:p>
        </w:tc>
      </w:tr>
    </w:tbl>
    <w:p/>
    <w:p>
      <w:pPr>
        <w:pStyle w:val="Heading3"/>
      </w:pPr>
      <w:r>
        <w:t>D2 · Trademark Filings Plan (`17-trademark-filings-plan`)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Marks + classes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Filing basis + watch service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International + notice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35</w:t>
            </w:r>
          </w:p>
        </w:tc>
      </w:tr>
    </w:tbl>
    <w:p/>
    <w:p>
      <w:pPr>
        <w:pStyle w:val="Heading3"/>
      </w:pPr>
      <w:r>
        <w:t>D3 · Copyright Registration Strategy (`18-copyright-registration-strategy`)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Assets + cadence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AI exclusion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t>Assignments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35</w:t>
            </w:r>
          </w:p>
        </w:tc>
      </w:tr>
    </w:tbl>
    <w:p/>
    <w:p>
      <w:pPr>
        <w:pStyle w:val="Heading3"/>
      </w:pPr>
      <w:r>
        <w:t>D4 · State Charitable Solicitation Registration Plan (`21-charitable-solicitation-plan`)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Sub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NC + phase 2 states</w:t>
            </w:r>
          </w:p>
        </w:tc>
        <w:tc>
          <w:tcPr>
            <w:tcW w:type="dxa" w:w="4824"/>
          </w:tcPr>
          <w:p>
            <w:r/>
            <w:r>
              <w:t>20</w:t>
            </w:r>
          </w:p>
        </w:tc>
      </w:tr>
      <w:tr>
        <w:tc>
          <w:tcPr>
            <w:tcW w:type="dxa" w:w="4824"/>
          </w:tcPr>
          <w:p>
            <w:r/>
            <w:r>
              <w:t>Required disclosures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  <w:tr>
        <w:tc>
          <w:tcPr>
            <w:tcW w:type="dxa" w:w="4824"/>
          </w:tcPr>
          <w:p>
            <w:r/>
            <w:r>
              <w:t>Vendor + renewals</w:t>
            </w:r>
          </w:p>
        </w:tc>
        <w:tc>
          <w:tcPr>
            <w:tcW w:type="dxa" w:w="4824"/>
          </w:tcPr>
          <w:p>
            <w:r/>
            <w: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45</w:t>
            </w:r>
          </w:p>
        </w:tc>
      </w:tr>
    </w:tbl>
    <w:p/>
    <w:p>
      <w:pPr>
        <w:pStyle w:val="Heading3"/>
      </w:pPr>
      <w:r>
        <w:t>D5 · ISTV Contract Analysis Memo (`22-istv-contract-analysis-memo`)</w:t>
      </w:r>
    </w:p>
    <w:p>
      <w:r>
        <w:t>Advisory memo — read only if the ISTV contract is being actively</w:t>
      </w:r>
    </w:p>
    <w:p>
      <w:r>
        <w:t>negotiated. Otherwise archive.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824"/>
          </w:tcPr>
          <w:p>
            <w:r/>
            <w:r>
              <w:t>Scan for signature</w:t>
            </w:r>
          </w:p>
        </w:tc>
        <w:tc>
          <w:tcPr>
            <w:tcW w:type="dxa" w:w="4824"/>
          </w:tcPr>
          <w:p>
            <w:r/>
            <w:r>
              <w:t>15</w:t>
            </w:r>
          </w:p>
        </w:tc>
      </w:tr>
    </w:tbl>
    <w:p/>
    <w:p>
      <w:r>
        <w:rPr>
          <w:b/>
        </w:rPr>
        <w:t>Section D subtotal: 170 minutes (2 hours 50 minutes)</w:t>
      </w:r>
    </w:p>
    <w:p/>
    <w:p>
      <w:pPr>
        <w:pStyle w:val="Heading2"/>
      </w:pPr>
      <w:r>
        <w:t>Assumptions &amp; Notes</w:t>
      </w:r>
    </w:p>
    <w:p>
      <w:pPr>
        <w:pStyle w:val="ListBullet"/>
      </w:pPr>
      <w:r>
        <w:t>Times assume the reviewing attorney is a **US generalist with</w:t>
      </w:r>
    </w:p>
    <w:p>
      <w:r>
        <w:t>501(c)(3) experience**. Specialist review (privacy specialist,</w:t>
      </w:r>
    </w:p>
    <w:p>
      <w:r>
        <w:t>IP specialist) would fold in additional time — budget +25% if</w:t>
      </w:r>
    </w:p>
    <w:p>
      <w:r>
        <w:t>splitting across two attorneys.</w:t>
      </w:r>
    </w:p>
    <w:p>
      <w:pPr>
        <w:pStyle w:val="ListBullet"/>
      </w:pPr>
      <w:r>
        <w:t xml:space="preserve">Times </w:t>
      </w:r>
      <w:r>
        <w:rPr>
          <w:b/>
        </w:rPr>
        <w:t>do not include drafting time</w:t>
      </w:r>
      <w:r>
        <w:t xml:space="preserve"> for the four missing</w:t>
      </w:r>
    </w:p>
    <w:p>
      <w:r>
        <w:t>documents flagged in Section C ("to be drafted"). Budget a</w:t>
      </w:r>
    </w:p>
    <w:p>
      <w:r>
        <w:t xml:space="preserve">further </w:t>
      </w:r>
      <w:r>
        <w:rPr>
          <w:b/>
        </w:rPr>
        <w:t>3 hours</w:t>
      </w:r>
      <w:r>
        <w:t xml:space="preserve"> if drafting from scratch is included.</w:t>
      </w:r>
    </w:p>
    <w:p>
      <w:pPr>
        <w:pStyle w:val="ListBullet"/>
      </w:pPr>
      <w:r>
        <w:t xml:space="preserve">Times </w:t>
      </w:r>
      <w:r>
        <w:rPr>
          <w:b/>
        </w:rPr>
        <w:t>do not include</w:t>
      </w:r>
      <w:r>
        <w:t xml:space="preserve"> meeting time to discuss changes with</w:t>
      </w:r>
    </w:p>
    <w:p>
      <w:r>
        <w:t xml:space="preserve">the Foundation. Budget </w:t>
      </w:r>
      <w:r>
        <w:rPr>
          <w:b/>
        </w:rPr>
        <w:t>1 hour</w:t>
      </w:r>
      <w:r>
        <w:t xml:space="preserve"> per section for a wrap</w:t>
      </w:r>
    </w:p>
    <w:p>
      <w:r>
        <w:t>meeting (4 sections × 1 hr = 4 hrs).</w:t>
      </w:r>
    </w:p>
    <w:p>
      <w:pPr>
        <w:pStyle w:val="ListBullet"/>
      </w:pPr>
      <w:r>
        <w:rPr>
          <w:b/>
        </w:rPr>
        <w:t>Total realistic budget for full ratification</w:t>
      </w:r>
      <w:r>
        <w:t xml:space="preserve"> including</w:t>
      </w:r>
    </w:p>
    <w:p>
      <w:r>
        <w:t xml:space="preserve">drafting-gap fills and wrap meetings: </w:t>
      </w:r>
      <w:r>
        <w:rPr>
          <w:b/>
        </w:rPr>
        <w:t>~29 hours</w:t>
      </w:r>
      <w:r>
        <w:t xml:space="preserve"> of</w:t>
      </w:r>
    </w:p>
    <w:p>
      <w:r>
        <w:t>attorney time.</w:t>
      </w:r>
    </w:p>
    <w:p/>
    <w:p>
      <w:r>
        <w:t>*First draft — counsel review plan. Comments to 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