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Volunteer Agreement</w:t>
      </w:r>
    </w:p>
    <w:p>
      <w:r>
        <w:rPr>
          <w:b/>
        </w:rPr>
        <w:t>Parties:</w:t>
      </w:r>
      <w:r>
        <w:t xml:space="preserve"> Birthright Foundation ("Birthright") and the volunteer identified below ("Volunteer").</w:t>
      </w:r>
    </w:p>
    <w:p>
      <w:pPr>
        <w:pStyle w:val="Heading2"/>
      </w:pPr>
      <w:r>
        <w:t>1. Role</w:t>
      </w:r>
    </w:p>
    <w:p>
      <w:r>
        <w:t xml:space="preserve">Volunteer will contribute time and effort to the working group / project identified in the signature block. Volunteer service is </w:t>
      </w:r>
      <w:r>
        <w:rPr>
          <w:b/>
        </w:rPr>
        <w:t>uncompensated</w:t>
      </w:r>
      <w:r>
        <w:t xml:space="preserve"> and is not employment or an independent-contractor engagement.</w:t>
      </w:r>
    </w:p>
    <w:p>
      <w:pPr>
        <w:pStyle w:val="Heading2"/>
      </w:pPr>
      <w:r>
        <w:t>2. Time Commitment</w:t>
      </w:r>
    </w:p>
    <w:p>
      <w:r>
        <w:t>Approximate hours per month: as agreed with the working-group lead. Volunteer may withdraw at any time on reasonable notice.</w:t>
      </w:r>
    </w:p>
    <w:p>
      <w:pPr>
        <w:pStyle w:val="Heading2"/>
      </w:pPr>
      <w:r>
        <w:t>3. Standards</w:t>
      </w:r>
    </w:p>
    <w:p>
      <w:r>
        <w:t>Volunteer will follow Birthright's Community Standards and the policies specific to their working group (safeguarding, media, communications). Volunteer will not represent Birthright externally without written authorisation.</w:t>
      </w:r>
    </w:p>
    <w:p>
      <w:pPr>
        <w:pStyle w:val="Heading2"/>
      </w:pPr>
      <w:r>
        <w:t>4. Intellectual Property</w:t>
      </w:r>
    </w:p>
    <w:p>
      <w:r>
        <w:t>Any materials Volunteer creates for Birthright in the course of volunteering (documents, slides, code contributions to open work) are assigned to Birthright on creation, or, if Volunteer contributes under an open-source licence, are licensed to Birthright under that licence.</w:t>
      </w:r>
    </w:p>
    <w:p>
      <w:pPr>
        <w:pStyle w:val="Heading2"/>
      </w:pPr>
      <w:r>
        <w:t>5. Confidentiality</w:t>
      </w:r>
    </w:p>
    <w:p>
      <w:r>
        <w:t>Non-public information about the Foundation and its participants is confidential. This obligation survives termination.</w:t>
      </w:r>
    </w:p>
    <w:p>
      <w:pPr>
        <w:pStyle w:val="Heading2"/>
      </w:pPr>
      <w:r>
        <w:t>6. Safety &amp; Insurance</w:t>
      </w:r>
    </w:p>
    <w:p>
      <w:r>
        <w:t>Volunteers acting within the scope of their agreed role are covered by the Foundation's volunteer-accident and general-liability policies. Volunteer must not undertake activities outside their agreed scope without written approval.</w:t>
      </w:r>
    </w:p>
    <w:p>
      <w:pPr>
        <w:pStyle w:val="Heading2"/>
      </w:pPr>
      <w:r>
        <w:t>7. Data</w:t>
      </w:r>
    </w:p>
    <w:p>
      <w:r>
        <w:t>Volunteer's contact details are held under the Privacy Policy and purged 12 months after the volunteering ends unless retention is required for records.</w:t>
      </w:r>
    </w:p>
    <w:p>
      <w:pPr>
        <w:pStyle w:val="Heading2"/>
      </w:pPr>
      <w:r>
        <w:t>8. Governing Law</w:t>
      </w:r>
    </w:p>
    <w:p>
      <w:r>
        <w:t>North Carolina, USA.</w:t>
      </w:r>
    </w:p>
    <w:p/>
    <w:p>
      <w:r>
        <w:t>*First draft — pending counsel ratification. Comments to legal@birthright.live.*</w:t>
      </w:r>
    </w:p>
    <w:p/>
    <w:p>
      <w:pPr>
        <w:pStyle w:val="Heading2"/>
      </w:pPr>
      <w:r>
        <w:t>EU / UK Compliance Addendum</w:t>
      </w:r>
    </w:p>
    <w:p>
      <w:r>
        <w:t>This document was drafted with EU / UK regulatory alignment in mind. Where this document conflicts with mandatory rights of an EU or UK resident, the mandatory local rules prevail. In particular:</w:t>
      </w:r>
    </w:p>
    <w:p>
      <w:pPr>
        <w:pStyle w:val="ListBullet"/>
      </w:pPr>
      <w:r>
        <w:rPr>
          <w:b/>
        </w:rPr>
        <w:t>GDPR (EU) 2016/679 and UK GDPR</w:t>
      </w:r>
      <w:r>
        <w:t xml:space="preserve"> apply to processing of personal data of individuals in the EEA and UK. Where Birthright is the controller, the lawful bases relied on are: (i) contract necessity, (ii) legitimate interests (balanced by opt-out), (iii) consent (marketing and non-essential cookies), and (iv) legal obligation.</w:t>
      </w:r>
    </w:p>
    <w:p>
      <w:pPr>
        <w:pStyle w:val="ListBullet"/>
      </w:pPr>
      <w:r>
        <w:rPr>
          <w:b/>
        </w:rPr>
        <w:t>ePrivacy Directive (2002/58/EC as amended)</w:t>
      </w:r>
      <w:r>
        <w:t xml:space="preserve"> applies to cookies and similar tracking. Non-essential cookies require prior opt-in consent.</w:t>
      </w:r>
    </w:p>
    <w:p>
      <w:pPr>
        <w:pStyle w:val="ListBullet"/>
      </w:pPr>
      <w:r>
        <w:rPr>
          <w:b/>
        </w:rPr>
        <w:t>EU Consumer Rights Directive (2011/83/EU)</w:t>
      </w:r>
      <w:r>
        <w:t xml:space="preserve"> — EU/UK consumers have a 14-day right of withdrawal on distance sales of goods and most digital services. Where a workshop or digital product has been fully performed with the consumer's prior consent, the right may be lost.</w:t>
      </w:r>
    </w:p>
    <w:p>
      <w:pPr>
        <w:pStyle w:val="ListBullet"/>
      </w:pPr>
      <w:r>
        <w:rPr>
          <w:b/>
        </w:rPr>
        <w:t>Digital Services Act (Regulation 2022/2065)</w:t>
      </w:r>
      <w:r>
        <w:t xml:space="preserve"> applies to online intermediaries offering services in the EU; Birthright's community features (posts, DMs, disputes) fall within scope. A single point of contact is designated at eu-contact@birthright.live.</w:t>
      </w:r>
    </w:p>
    <w:p>
      <w:pPr>
        <w:pStyle w:val="ListBullet"/>
      </w:pPr>
      <w:r>
        <w:rPr>
          <w:b/>
        </w:rPr>
        <w:t>EU AI Act (Regulation 2024/1689)</w:t>
      </w:r>
      <w:r>
        <w:t xml:space="preserve"> applies to providers and deployers of AI systems affecting EU users. Birthright's AI features (Help Assistant, image generation, image captioning) are labeled as AI-assisted and are not used for automated decisions with legal effect.</w:t>
      </w:r>
    </w:p>
    <w:p>
      <w:pPr>
        <w:pStyle w:val="ListBullet"/>
      </w:pPr>
      <w:r>
        <w:rPr>
          <w:b/>
        </w:rPr>
        <w:t>Data transfers out of the EEA/UK/CH</w:t>
      </w:r>
      <w:r>
        <w:t xml:space="preserve"> rely on the EU Standard Contractual Clauses (2021/914) and the UK International Data Transfer Addendum, with a transfer-impact assessment on file for each sub-processor.</w:t>
      </w:r>
    </w:p>
    <w:p>
      <w:pPr>
        <w:pStyle w:val="ListBullet"/>
      </w:pPr>
      <w:r>
        <w:rPr>
          <w:b/>
        </w:rPr>
        <w:t>Data Protection Officer (DPO)</w:t>
      </w:r>
      <w:r>
        <w:t xml:space="preserve"> — Birthright will designate a DPO once threshold criteria under GDPR Art. 37 are met. Contact: dpo@birthright.live.</w:t>
      </w:r>
    </w:p>
    <w:p>
      <w:pPr>
        <w:pStyle w:val="ListBullet"/>
      </w:pPr>
      <w:r>
        <w:rPr>
          <w:b/>
        </w:rPr>
        <w:t>DSAR window</w:t>
      </w:r>
      <w:r>
        <w:t xml:space="preserve"> — subject access, rectification, erasure, portability, and objection requests are responded to within </w:t>
      </w:r>
      <w:r>
        <w:rPr>
          <w:b/>
        </w:rPr>
        <w:t>30 days</w:t>
      </w:r>
      <w:r>
        <w:t xml:space="preserve"> (extendable by 60 days for complex requests) at privacy@birthright.live.</w:t>
      </w:r>
    </w:p>
    <w:p>
      <w:pPr>
        <w:pStyle w:val="ListBullet"/>
      </w:pPr>
      <w:r>
        <w:rPr>
          <w:b/>
        </w:rPr>
        <w:t>Supervisory authority</w:t>
      </w:r>
      <w:r>
        <w:t xml:space="preserve"> — EU/UK residents may lodge a complaint with their local supervisory authority; a list is available at </w:t>
      </w:r>
      <w:hyperlink r:id="rId9">
        <w:r>
          <w:rPr>
            <w:color w:val="0563C1"/>
            <w:u w:val="single"/>
          </w:rPr>
          <w:t xml:space="preserve">https://edpb.europa.eu/about-edpb/about-edpb/members_en</w:t>
        </w:r>
      </w:hyperlink>
      <w:r>
        <w:t xml:space="preserve"> (EU) and </w:t>
      </w:r>
      <w:hyperlink r:id="rId10">
        <w:r>
          <w:rPr>
            <w:color w:val="0563C1"/>
            <w:u w:val="single"/>
          </w:rPr>
          <w:t xml:space="preserve">https://ico.org.uk</w:t>
        </w:r>
      </w:hyperlink>
      <w:r>
        <w:t xml:space="preserve"> (UK).</w:t>
      </w:r>
    </w:p>
    <w:p>
      <w:pPr>
        <w:pStyle w:val="ListBullet"/>
      </w:pPr>
      <w:r>
        <w:rPr>
          <w:b/>
        </w:rPr>
        <w:t>VAT</w:t>
      </w:r>
      <w:r>
        <w:t xml:space="preserve"> — Where Birthright's EU B2C digital-service or goods sales cross applicable thresholds, VAT registration (One-Stop-Shop or country-by-country) will be completed.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about-edpb/about-edpb/members_en"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