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Copyright Registration Strategy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Assets to Register</w:t>
      </w:r>
    </w:p>
    <w:p>
      <w:pPr>
        <w:pStyle w:val="ListBullet"/>
      </w:pPr>
      <w:r>
        <w:rPr>
          <w:b/>
        </w:rPr>
        <w:t>Workshop curricula</w:t>
      </w:r>
      <w:r>
        <w:t xml:space="preserve"> — literary work; register per workshop.</w:t>
      </w:r>
    </w:p>
    <w:p>
      <w:pPr>
        <w:pStyle w:val="ListBullet"/>
      </w:pPr>
      <w:r>
        <w:rPr>
          <w:b/>
        </w:rPr>
        <w:t>Research articles</w:t>
      </w:r>
      <w:r>
        <w:t xml:space="preserve"> — quarterly batch registration.</w:t>
      </w:r>
    </w:p>
    <w:p>
      <w:pPr>
        <w:pStyle w:val="ListBullet"/>
      </w:pPr>
      <w:r>
        <w:rPr>
          <w:b/>
        </w:rPr>
        <w:t>Workshop video recordings</w:t>
      </w:r>
      <w:r>
        <w:t xml:space="preserve"> — audiovisual work.</w:t>
      </w:r>
    </w:p>
    <w:p>
      <w:pPr>
        <w:pStyle w:val="ListBullet"/>
      </w:pPr>
      <w:r>
        <w:rPr>
          <w:b/>
        </w:rPr>
        <w:t>Original photography</w:t>
      </w:r>
      <w:r>
        <w:t xml:space="preserve"> — annual group registration.</w:t>
      </w:r>
    </w:p>
    <w:p>
      <w:pPr>
        <w:pStyle w:val="Heading2"/>
      </w:pPr>
      <w:r>
        <w:t>2. Do Not Register</w:t>
      </w:r>
    </w:p>
    <w:p>
      <w:pPr>
        <w:pStyle w:val="ListBullet"/>
      </w:pPr>
      <w:r>
        <w:rPr>
          <w:b/>
        </w:rPr>
        <w:t>AI-generated imagery</w:t>
      </w:r>
      <w:r>
        <w:t xml:space="preserve"> — under current US Copyright Office guidance, works without significant human authorship are not copyrightable. Document human authorship (curation, prompting, compositing) if we ever attempt registration on a composite piece.</w:t>
      </w:r>
    </w:p>
    <w:p>
      <w:pPr>
        <w:pStyle w:val="Heading2"/>
      </w:pPr>
      <w:r>
        <w:t>3. Cadence</w:t>
      </w:r>
    </w:p>
    <w:p>
      <w:r>
        <w:t>Quarterly for articles and photos; per-work for curricula on completion.</w:t>
      </w:r>
    </w:p>
    <w:p>
      <w:pPr>
        <w:pStyle w:val="Heading2"/>
      </w:pPr>
      <w:r>
        <w:t>4. Notice</w:t>
      </w:r>
    </w:p>
    <w:p>
      <w:r>
        <w:t>Add "© Birthright Foundation [year]" to protected works.</w:t>
      </w:r>
    </w:p>
    <w:p>
      <w:pPr>
        <w:pStyle w:val="Heading2"/>
      </w:pPr>
      <w:r>
        <w:t>5. Assignments</w:t>
      </w:r>
    </w:p>
    <w:p>
      <w:r>
        <w:t>Each contributor (facilitator, writer, videographer, photographer) signs a written work-for-hire clause or an IP assignment before work is publicly released.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