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James Reagan · Contact: legal@birthright.live</w:t>
      </w:r>
    </w:p>
    <w:p>
      <w:pPr>
        <w:pStyle w:val="Heading1"/>
      </w:pPr>
      <w:r>
        <w:t>State Charitable Solicitation Registration Plan</w:t>
      </w:r>
    </w:p>
    <w:p>
      <w:r>
        <w:rPr>
          <w:b/>
        </w:rPr>
        <w:t>Effective date:</w:t>
      </w:r>
      <w:r>
        <w:t xml:space="preserve"> February 2026. Internal planning document.</w:t>
      </w:r>
    </w:p>
    <w:p>
      <w:pPr>
        <w:pStyle w:val="Heading2"/>
      </w:pPr>
      <w:r>
        <w:t>1. Register-Where-You-Solicit</w:t>
      </w:r>
    </w:p>
    <w:p>
      <w:r>
        <w:t>Forty (40) US states require charities that "solicit" (any ask, in any medium) to register in that state, plus annual renewals. We will register in the home state (NC) immediately and add additional states as our national fundraising begins.</w:t>
      </w:r>
    </w:p>
    <w:p>
      <w:pPr>
        <w:pStyle w:val="Heading2"/>
      </w:pPr>
      <w:r>
        <w:t>2. Home State Priority</w:t>
      </w:r>
    </w:p>
    <w:p>
      <w:pPr>
        <w:pStyle w:val="ListBullet"/>
      </w:pPr>
      <w:r>
        <w:rPr>
          <w:b/>
        </w:rPr>
        <w:t>North Carolina</w:t>
      </w:r>
      <w:r>
        <w:t xml:space="preserve"> — Charitable Solicitation Licensing Section, Form CSL-01. File within 30 days of first solicitation.</w:t>
      </w:r>
    </w:p>
    <w:p>
      <w:pPr>
        <w:pStyle w:val="Heading2"/>
      </w:pPr>
      <w:r>
        <w:t>3. Big Traffic States (Phase 2)</w:t>
      </w:r>
    </w:p>
    <w:p>
      <w:r>
        <w:t>Register within 30 days of first solicitation from residents of: CA, NY, FL, TX, IL, PA, MA, NJ, VA, MD, WA, GA.</w:t>
      </w:r>
    </w:p>
    <w:p>
      <w:pPr>
        <w:pStyle w:val="Heading2"/>
      </w:pPr>
      <w:r>
        <w:t>4. Disclosures</w:t>
      </w:r>
    </w:p>
    <w:p>
      <w:r>
        <w:t>Add the required disclosure block to fundraising materials, e.g.:</w:t>
      </w:r>
    </w:p>
    <w:p>
      <w:pPr>
        <w:ind w:left="288"/>
      </w:pPr>
      <w:r>
        <w:rPr>
          <w:i/>
          <w:color w:val="7C5316"/>
        </w:rPr>
        <w:t>**North Carolina:** A copy of the license is available for the</w:t>
      </w:r>
    </w:p>
    <w:p>
      <w:pPr>
        <w:ind w:left="288"/>
      </w:pPr>
      <w:r>
        <w:rPr>
          <w:i/>
          <w:color w:val="7C5316"/>
        </w:rPr>
        <w:t>asking at the address above.</w:t>
      </w:r>
    </w:p>
    <w:p>
      <w:r>
        <w:t>&gt;</w:t>
      </w:r>
    </w:p>
    <w:p>
      <w:pPr>
        <w:ind w:left="288"/>
      </w:pPr>
      <w:r>
        <w:rPr>
          <w:i/>
          <w:color w:val="7C5316"/>
        </w:rPr>
        <w:t>**New York:** A copy of the latest annual report may be obtained</w:t>
      </w:r>
    </w:p>
    <w:p>
      <w:pPr>
        <w:ind w:left="288"/>
      </w:pPr>
      <w:r>
        <w:rPr>
          <w:i/>
          <w:color w:val="7C5316"/>
        </w:rPr>
        <w:t>from the organisation or from the Attorney General.</w:t>
      </w:r>
    </w:p>
    <w:p>
      <w:r>
        <w:t>&gt;</w:t>
      </w:r>
    </w:p>
    <w:p>
      <w:pPr>
        <w:ind w:left="288"/>
      </w:pPr>
      <w:r>
        <w:rPr>
          <w:i/>
          <w:color w:val="7C5316"/>
        </w:rPr>
        <w:t>(Full block library maintained by counsel or a compliance vendor.)</w:t>
      </w:r>
    </w:p>
    <w:p>
      <w:pPr>
        <w:pStyle w:val="Heading2"/>
      </w:pPr>
      <w:r>
        <w:t>5. Vendor Option</w:t>
      </w:r>
    </w:p>
    <w:p>
      <w:r>
        <w:t>Engage a compliance vendor (Harbor Compliance, Labyrinth, or Foundation Group) for multi-state filings — typically $50–$150 per state per year plus one-time onboarding.</w:t>
      </w:r>
    </w:p>
    <w:p>
      <w:pPr>
        <w:pStyle w:val="Heading2"/>
      </w:pPr>
      <w:r>
        <w:t>6. Renewals</w:t>
      </w:r>
    </w:p>
    <w:p>
      <w:r>
        <w:t>Annual, offset from fiscal-year end. Calendar reminders set 60 days in advance of every renewal.</w:t>
      </w:r>
    </w:p>
    <w:p/>
    <w:p>
      <w:r>
        <w:t>*First draft — pending counsel ratification. Comments to legal@birthright.live.*</w:t>
      </w:r>
    </w:p>
    <w:p/>
    <w:p>
      <w:pPr>
        <w:pStyle w:val="Heading2"/>
      </w:pPr>
      <w:r>
        <w:t>EU / UK Compliance Addendum</w:t>
      </w:r>
    </w:p>
    <w:p>
      <w:r>
        <w:t>This document was drafted with EU / UK regulatory alignment in mind. Where this document conflicts with mandatory rights of an EU or UK resident, the mandatory local rules prevail. In particular:</w:t>
      </w:r>
    </w:p>
    <w:p>
      <w:pPr>
        <w:pStyle w:val="ListBullet"/>
      </w:pPr>
      <w:r>
        <w:rPr>
          <w:b/>
        </w:rPr>
        <w:t>GDPR (EU) 2016/679 and UK GDPR</w:t>
      </w:r>
      <w:r>
        <w:t xml:space="preserve"> apply to processing of personal data of individuals in the EEA and UK. Where Birthright is the controller, the lawful bases relied on are: (i) contract necessity, (ii) legitimate interests (balanced by opt-out), (iii) consent (marketing and non-essential cookies), and (iv) legal obligation.</w:t>
      </w:r>
    </w:p>
    <w:p>
      <w:pPr>
        <w:pStyle w:val="ListBullet"/>
      </w:pPr>
      <w:r>
        <w:rPr>
          <w:b/>
        </w:rPr>
        <w:t>ePrivacy Directive (2002/58/EC as amended)</w:t>
      </w:r>
      <w:r>
        <w:t xml:space="preserve"> applies to cookies and similar tracking. Non-essential cookies require prior opt-in consent.</w:t>
      </w:r>
    </w:p>
    <w:p>
      <w:pPr>
        <w:pStyle w:val="ListBullet"/>
      </w:pPr>
      <w:r>
        <w:rPr>
          <w:b/>
        </w:rPr>
        <w:t>EU Consumer Rights Directive (2011/83/EU)</w:t>
      </w:r>
      <w:r>
        <w:t xml:space="preserve"> — EU/UK consumers have a 14-day right of withdrawal on distance sales of goods and most digital services. Where a workshop or digital product has been fully performed with the consumer's prior consent, the right may be lost.</w:t>
      </w:r>
    </w:p>
    <w:p>
      <w:pPr>
        <w:pStyle w:val="ListBullet"/>
      </w:pPr>
      <w:r>
        <w:rPr>
          <w:b/>
        </w:rPr>
        <w:t>Digital Services Act (Regulation 2022/2065)</w:t>
      </w:r>
      <w:r>
        <w:t xml:space="preserve"> applies to online intermediaries offering services in the EU; Birthright's community features (posts, DMs, disputes) fall within scope. A single point of contact is designated at eu-contact@birthright.live.</w:t>
      </w:r>
    </w:p>
    <w:p>
      <w:pPr>
        <w:pStyle w:val="ListBullet"/>
      </w:pPr>
      <w:r>
        <w:rPr>
          <w:b/>
        </w:rPr>
        <w:t>EU AI Act (Regulation 2024/1689)</w:t>
      </w:r>
      <w:r>
        <w:t xml:space="preserve"> applies to providers and deployers of AI systems affecting EU users. Birthright's AI features (Help Assistant, image generation, image captioning) are labeled as AI-assisted and are not used for automated decisions with legal effect.</w:t>
      </w:r>
    </w:p>
    <w:p>
      <w:pPr>
        <w:pStyle w:val="ListBullet"/>
      </w:pPr>
      <w:r>
        <w:rPr>
          <w:b/>
        </w:rPr>
        <w:t>Data transfers out of the EEA/UK/CH</w:t>
      </w:r>
      <w:r>
        <w:t xml:space="preserve"> rely on the EU Standard Contractual Clauses (2021/914) and the UK International Data Transfer Addendum, with a transfer-impact assessment on file for each sub-processor.</w:t>
      </w:r>
    </w:p>
    <w:p>
      <w:pPr>
        <w:pStyle w:val="ListBullet"/>
      </w:pPr>
      <w:r>
        <w:rPr>
          <w:b/>
        </w:rPr>
        <w:t>Data Protection Officer (DPO)</w:t>
      </w:r>
      <w:r>
        <w:t xml:space="preserve"> — Birthright will designate a DPO once threshold criteria under GDPR Art. 37 are met. Contact: dpo@birthright.live.</w:t>
      </w:r>
    </w:p>
    <w:p>
      <w:pPr>
        <w:pStyle w:val="ListBullet"/>
      </w:pPr>
      <w:r>
        <w:rPr>
          <w:b/>
        </w:rPr>
        <w:t>DSAR window</w:t>
      </w:r>
      <w:r>
        <w:t xml:space="preserve"> — subject access, rectification, erasure, portability, and objection requests are responded to within </w:t>
      </w:r>
      <w:r>
        <w:rPr>
          <w:b/>
        </w:rPr>
        <w:t>30 days</w:t>
      </w:r>
      <w:r>
        <w:t xml:space="preserve"> (extendable by 60 days for complex requests) at privacy@birthright.live.</w:t>
      </w:r>
    </w:p>
    <w:p>
      <w:pPr>
        <w:pStyle w:val="ListBullet"/>
      </w:pPr>
      <w:r>
        <w:rPr>
          <w:b/>
        </w:rPr>
        <w:t>Supervisory authority</w:t>
      </w:r>
      <w:r>
        <w:t xml:space="preserve"> — EU/UK residents may lodge a complaint with their local supervisory authority; a list is available at </w:t>
      </w:r>
      <w:hyperlink r:id="rId9">
        <w:r>
          <w:rPr>
            <w:color w:val="0563C1"/>
            <w:u w:val="single"/>
          </w:rPr>
          <w:t xml:space="preserve">https://edpb.europa.eu/about-edpb/about-edpb/members_en</w:t>
        </w:r>
      </w:hyperlink>
      <w:r>
        <w:t xml:space="preserve"> (EU) and </w:t>
      </w:r>
      <w:hyperlink r:id="rId10">
        <w:r>
          <w:rPr>
            <w:color w:val="0563C1"/>
            <w:u w:val="single"/>
          </w:rPr>
          <w:t xml:space="preserve">https://ico.org.uk</w:t>
        </w:r>
      </w:hyperlink>
      <w:r>
        <w:t xml:space="preserve"> (UK).</w:t>
      </w:r>
    </w:p>
    <w:p>
      <w:pPr>
        <w:pStyle w:val="ListBullet"/>
      </w:pPr>
      <w:r>
        <w:rPr>
          <w:b/>
        </w:rPr>
        <w:t>VAT</w:t>
      </w:r>
      <w:r>
        <w:t xml:space="preserve"> — Where Birthright's EU B2C digital-service or goods sales cross applicable thresholds, VAT registration (One-Stop-Shop or country-by-country) will be completed.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about-edpb/about-edpb/members_en"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