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Birthright Foundation — Legal Briefing for Counsel</w:t>
      </w:r>
    </w:p>
    <w:p>
      <w:r>
        <w:t>_Prepared for: outside counsel forming the entity and drafting agreements._</w:t>
      </w:r>
    </w:p>
    <w:p>
      <w:r>
        <w:t>_Prepared by: platform engineering (technical scoping only — not legal analysis)._</w:t>
      </w:r>
    </w:p>
    <w:p>
      <w:r>
        <w:t xml:space="preserve">_Version: February 2026. All figures below reflect the state of the platform in production at </w:t>
      </w:r>
      <w:r>
        <w:rPr>
          <w:b/>
        </w:rPr>
        <w:t>https://birthright.live</w:t>
      </w:r>
      <w:r>
        <w:t>._</w:t>
      </w:r>
    </w:p>
    <w:p>
      <w:pPr>
        <w:ind w:left="288"/>
      </w:pPr>
      <w:r>
        <w:rPr>
          <w:i/>
          <w:color w:val="7C5316"/>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pPr>
      <w:r>
        <w:t>0. Counsel Fast Path — Minimise Your Billable Time</w:t>
      </w:r>
    </w:p>
    <w:p>
      <w:r>
        <w:rPr>
          <w:b/>
        </w:rPr>
        <w:t>Cheapest workflow.</w:t>
      </w:r>
      <w:r>
        <w:t xml:space="preserve"> Ask us to email you the two </w:t>
      </w:r>
      <w:r>
        <w:rPr>
          <w:rFonts w:ascii="Consolas" w:hAnsi="Consolas"/>
          <w:sz w:val="20"/>
        </w:rPr>
        <w:t>.docx</w:t>
      </w:r>
      <w:r>
        <w:t xml:space="preserve"> files —</w:t>
      </w:r>
    </w:p>
    <w:p>
      <w:r>
        <w:rPr>
          <w:rFonts w:ascii="Consolas" w:hAnsi="Consolas"/>
          <w:sz w:val="20"/>
        </w:rPr>
        <w:t>LEGAL_BRIEFING_FOR_COUNSEL.docx</w:t>
      </w:r>
      <w:r>
        <w:t xml:space="preserve"> (this file) and</w:t>
      </w:r>
    </w:p>
    <w:p>
      <w:r>
        <w:rPr>
          <w:rFonts w:ascii="Consolas" w:hAnsi="Consolas"/>
          <w:sz w:val="20"/>
        </w:rPr>
        <w:t>00a-counsel-user-guide.docx</w:t>
      </w:r>
      <w:r>
        <w:t>. Redline in Word with Track Changes.</w:t>
      </w:r>
    </w:p>
    <w:p>
      <w:r>
        <w:t xml:space="preserve">Email the marked-up files to </w:t>
      </w:r>
      <w:r>
        <w:rPr>
          <w:rFonts w:ascii="Consolas" w:hAnsi="Consolas"/>
          <w:sz w:val="20"/>
        </w:rPr>
        <w:t>legal@birthright.live</w:t>
      </w:r>
      <w:r>
        <w:t>. Birthright's</w:t>
      </w:r>
    </w:p>
    <w:p>
      <w:r>
        <w:t>Executive Director does every platform click. **You never need to log</w:t>
      </w:r>
    </w:p>
    <w:p>
      <w:r>
        <w:t>in for a normal review pass.**</w:t>
      </w:r>
    </w:p>
    <w:p>
      <w:r>
        <w:rPr>
          <w:b/>
        </w:rPr>
        <w:t>Push these to Birthright's admin (they cost billable time and are clerical):</w:t>
      </w:r>
    </w:p>
    <w:p>
      <w:pPr>
        <w:pStyle w:val="ListBullet"/>
      </w:pPr>
      <w:r>
        <w:t>Transcribing your redlines into the platform (~30 s per redline).</w:t>
      </w:r>
    </w:p>
    <w:p>
      <w:pPr>
        <w:pStyle w:val="ListBullet"/>
      </w:pPr>
      <w:r>
        <w:t>Applying accepted / rejected roundtrip decisions.</w:t>
      </w:r>
    </w:p>
    <w:p>
      <w:pPr>
        <w:pStyle w:val="ListBullet"/>
      </w:pPr>
      <w:r>
        <w:t>Marking documents as counsel-ratified after your one-line ratification email.</w:t>
      </w:r>
    </w:p>
    <w:p>
      <w:pPr>
        <w:pStyle w:val="ListBullet"/>
      </w:pPr>
      <w:r>
        <w:t>Rebuilding the counsel-briefing bundle after edits.</w:t>
      </w:r>
    </w:p>
    <w:p>
      <w:pPr>
        <w:pStyle w:val="ListBullet"/>
      </w:pPr>
      <w:r>
        <w:t>Ticking off the manual review checklist and recording your initials.</w:t>
      </w:r>
    </w:p>
    <w:p>
      <w:r>
        <w:rPr>
          <w:b/>
        </w:rPr>
        <w:t>Do these personally (they are legal work, not clerical):</w:t>
      </w:r>
    </w:p>
    <w:p>
      <w:pPr>
        <w:pStyle w:val="ListBullet"/>
      </w:pPr>
      <w:r>
        <w:t>Substantive legal analysis of every draft.</w:t>
      </w:r>
    </w:p>
    <w:p>
      <w:pPr>
        <w:pStyle w:val="ListBullet"/>
      </w:pPr>
      <w:r>
        <w:t>Rewording of proposed replacement text in each redline.</w:t>
      </w:r>
    </w:p>
    <w:p>
      <w:pPr>
        <w:pStyle w:val="ListBullet"/>
      </w:pPr>
      <w:r>
        <w:t>The final one-line ratification email per document.</w:t>
      </w:r>
    </w:p>
    <w:p>
      <w:pPr>
        <w:pStyle w:val="ListBullet"/>
      </w:pPr>
      <w:r>
        <w:t>Advice on licensing, insurance, and dispute-jurisdiction choices.</w:t>
      </w:r>
    </w:p>
    <w:p>
      <w:r>
        <w:t>The full per-function fast-path table (redline, roundtrip, ratify,</w:t>
      </w:r>
    </w:p>
    <w:p>
      <w:r>
        <w:t>revoke, checklist, activity log, change-log) lives in the standalone</w:t>
      </w:r>
    </w:p>
    <w:p>
      <w:r>
        <w:t xml:space="preserve">Counsel User Guide — </w:t>
      </w:r>
      <w:r>
        <w:rPr>
          <w:rFonts w:ascii="Consolas" w:hAnsi="Consolas"/>
          <w:sz w:val="20"/>
        </w:rPr>
        <w:t>00a-counsel-user-guide.docx</w:t>
      </w:r>
      <w:r>
        <w:t>.</w:t>
      </w:r>
    </w:p>
    <w:p/>
    <w:p>
      <w:pPr>
        <w:pStyle w:val="Heading2"/>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9">
              <w:r>
                <w:rPr>
                  <w:color w:val="0563C1"/>
                  <w:u w:val="single"/>
                </w:rPr>
                <w:t xml:space="preserve">/equip</w:t>
              </w:r>
            </w:hyperlink>
            <w:r>
              <w:t xml:space="preserve">, </w:t>
            </w:r>
            <w:hyperlink r:id="rId10">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1">
              <w:r>
                <w:rPr>
                  <w:color w:val="0563C1"/>
                  <w:u w:val="single"/>
                </w:rPr>
                <w:t xml:space="preserve">/gather</w:t>
              </w:r>
            </w:hyperlink>
            <w:r>
              <w:t xml:space="preserve">, </w:t>
            </w:r>
            <w:hyperlink r:id="rId12">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3">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4">
              <w:r>
                <w:rPr>
                  <w:color w:val="0563C1"/>
                  <w:u w:val="single"/>
                </w:rPr>
                <w:t xml:space="preserve">/support</w:t>
              </w:r>
            </w:hyperlink>
            <w:r>
              <w:t xml:space="preserve">, </w:t>
            </w:r>
            <w:hyperlink r:id="rId15">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6">
              <w:r>
                <w:rPr>
                  <w:color w:val="0563C1"/>
                  <w:u w:val="single"/>
                </w:rPr>
                <w:t xml:space="preserve">/subscribe</w:t>
              </w:r>
            </w:hyperlink>
            <w:r>
              <w:t xml:space="preserve">, admin at </w:t>
            </w:r>
            <w:hyperlink r:id="rId17">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8">
              <w:r>
                <w:rPr>
                  <w:color w:val="0563C1"/>
                  <w:u w:val="single"/>
                </w:rPr>
                <w:t xml:space="preserve">/gallery</w:t>
              </w:r>
            </w:hyperlink>
            <w:r>
              <w:t xml:space="preserve">, </w:t>
            </w:r>
            <w:hyperlink r:id="rId19">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0">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1">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2">
              <w:r>
                <w:rPr>
                  <w:color w:val="0563C1"/>
                  <w:u w:val="single"/>
                </w:rPr>
                <w:t xml:space="preserve">/join</w:t>
              </w:r>
            </w:hyperlink>
            <w:r>
              <w:t xml:space="preserve">, </w:t>
            </w:r>
            <w:hyperlink r:id="rId23">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4">
              <w:r>
                <w:rPr>
                  <w:color w:val="0563C1"/>
                  <w:u w:val="single"/>
                </w:rPr>
                <w:t xml:space="preserve">/dashboard/partner/payouts</w:t>
              </w:r>
            </w:hyperlink>
            <w:r>
              <w:t xml:space="preserve">, </w:t>
            </w:r>
            <w:hyperlink r:id="rId25">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6">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7">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8">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0">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1">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2">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r>
        <w:rPr>
          <w:b/>
        </w:rPr>
        <w:t>Privacy policy</w:t>
      </w:r>
      <w:r>
        <w:t xml:space="preserve"> covering all of the above — currently missing.</w:t>
      </w:r>
    </w:p>
    <w:p>
      <w:pPr>
        <w:pStyle w:val="ListNumber"/>
      </w:pPr>
      <w:r>
        <w:rPr>
          <w:b/>
        </w:rPr>
        <w:t>Privacy law applicability across jurisdictions</w:t>
      </w:r>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r>
        <w:rPr>
          <w:b/>
        </w:rPr>
        <w:t>Age gate.</w:t>
      </w:r>
      <w:r>
        <w:t xml:space="preserve"> No Children's Online Privacy Protection Act (COPPA) age-gate today; workshops describe attachment work aimed at adults but nothing prevents a minor from signing up.</w:t>
      </w:r>
    </w:p>
    <w:p>
      <w:pPr>
        <w:pStyle w:val="ListNumber"/>
      </w:pPr>
      <w:r>
        <w:rPr>
          <w:b/>
        </w:rPr>
        <w:t>Data processing agreements (DPAs)</w:t>
      </w:r>
      <w:r>
        <w:t xml:space="preserve"> with each sub-processor (see §5).</w:t>
      </w:r>
    </w:p>
    <w:p>
      <w:pPr>
        <w:pStyle w:val="ListNumber"/>
      </w:pPr>
      <w:r>
        <w:rPr>
          <w:b/>
        </w:rPr>
        <w:t>Retention schedule</w:t>
      </w:r>
      <w:r>
        <w:t xml:space="preserve"> for chat/DM/journaling content.</w:t>
      </w:r>
    </w:p>
    <w:p>
      <w:pPr>
        <w:pStyle w:val="ListNumber"/>
      </w:pPr>
      <w:r>
        <w:rPr>
          <w:b/>
        </w:rPr>
        <w:t>Breach-notification obligations</w:t>
      </w:r>
      <w:r>
        <w:t xml:space="preserve"> (state-by-state).</w:t>
      </w:r>
    </w:p>
    <w:p>
      <w:pPr>
        <w:pStyle w:val="ListNumber"/>
      </w:pPr>
      <w:r>
        <w:rPr>
          <w:b/>
        </w:rPr>
        <w:t>Health-adjacent content</w:t>
      </w:r>
      <w:r>
        <w:t xml:space="preserve"> — decide whether platform copy needs an explicit "this is not therapy" disclaimer beyond what's in the indemnification agreement.</w:t>
      </w:r>
    </w:p>
    <w:p>
      <w:pPr>
        <w:pStyle w:val="Heading3"/>
      </w:pPr>
      <w:r>
        <w:t>4b. Audit &amp; activity logging (added: current release)</w:t>
      </w:r>
    </w:p>
    <w:p>
      <w:r>
        <w:t>The platform now maintains three internal audit collections to give admin, counsel, and regulators forensic visibility. Counsel should be aware these exist because they materially affect the Privacy Policy (IP + user-agent are personal data) and because counsel's own review session activity is logged.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Collection</w:t>
            </w:r>
          </w:p>
        </w:tc>
        <w:tc>
          <w:tcPr>
            <w:tcW w:type="dxa" w:w="2412"/>
          </w:tcPr>
          <w:p>
            <w:r>
              <w:rPr>
                <w:b/>
              </w:rPr>
            </w:r>
            <w:r>
              <w:rPr>
                <w:b/>
              </w:rPr>
              <w:t>Purpose</w:t>
            </w:r>
          </w:p>
        </w:tc>
        <w:tc>
          <w:tcPr>
            <w:tcW w:type="dxa" w:w="2412"/>
          </w:tcPr>
          <w:p>
            <w:r>
              <w:rPr>
                <w:b/>
              </w:rPr>
            </w:r>
            <w:r>
              <w:rPr>
                <w:b/>
              </w:rPr>
              <w:t>Data captured</w:t>
            </w:r>
          </w:p>
        </w:tc>
        <w:tc>
          <w:tcPr>
            <w:tcW w:type="dxa" w:w="2412"/>
          </w:tcPr>
          <w:p>
            <w:r>
              <w:rPr>
                <w:b/>
              </w:rPr>
            </w:r>
            <w:r>
              <w:rPr>
                <w:b/>
              </w:rPr>
              <w:t>Retention</w:t>
            </w:r>
          </w:p>
        </w:tc>
      </w:tr>
      <w:tr>
        <w:tc>
          <w:tcPr>
            <w:tcW w:type="dxa" w:w="2412"/>
          </w:tcPr>
          <w:p>
            <w:r/>
            <w:r>
              <w:rPr>
                <w:rFonts w:ascii="Consolas" w:hAnsi="Consolas"/>
                <w:sz w:val="20"/>
              </w:rPr>
              <w:t>user_activity_log</w:t>
            </w:r>
          </w:p>
        </w:tc>
        <w:tc>
          <w:tcPr>
            <w:tcW w:type="dxa" w:w="2412"/>
          </w:tcPr>
          <w:p>
            <w:r/>
            <w:r>
              <w:t>Tier 1 security events for all authenticated users (logins, logouts, password events, sensitive document signings, payments) plus Tier 2 URL trace for admin sessions</w:t>
            </w:r>
          </w:p>
        </w:tc>
        <w:tc>
          <w:tcPr>
            <w:tcW w:type="dxa" w:w="2412"/>
          </w:tcPr>
          <w:p>
            <w:r/>
            <w:r>
              <w:t>user_id, email, role, event_type, category, method, path, status_code, IP address, user-agent, metadata, timestamp</w:t>
            </w:r>
          </w:p>
        </w:tc>
        <w:tc>
          <w:tcPr>
            <w:tcW w:type="dxa" w:w="2412"/>
          </w:tcPr>
          <w:p>
            <w:r/>
            <w:r>
              <w:rPr>
                <w:b/>
              </w:rPr>
              <w:t>365 days rolling</w:t>
            </w:r>
            <w:r>
              <w:t xml:space="preserve"> — enforced by nightly scheduler job </w:t>
            </w:r>
            <w:r>
              <w:rPr>
                <w:rFonts w:ascii="Consolas" w:hAnsi="Consolas"/>
                <w:sz w:val="20"/>
              </w:rPr>
              <w:t>user_activity_retention</w:t>
            </w:r>
          </w:p>
        </w:tc>
      </w:tr>
      <w:tr>
        <w:tc>
          <w:tcPr>
            <w:tcW w:type="dxa" w:w="2412"/>
          </w:tcPr>
          <w:p>
            <w:r/>
            <w:r>
              <w:rPr>
                <w:rFonts w:ascii="Consolas" w:hAnsi="Consolas"/>
                <w:sz w:val="20"/>
              </w:rPr>
              <w:t>counsel_activity_log</w:t>
            </w:r>
          </w:p>
        </w:tc>
        <w:tc>
          <w:tcPr>
            <w:tcW w:type="dxa" w:w="2412"/>
          </w:tcPr>
          <w:p>
            <w:r/>
            <w:r>
              <w:t xml:space="preserve">Every request made by any </w:t>
            </w:r>
            <w:r>
              <w:rPr>
                <w:rFonts w:ascii="Consolas" w:hAnsi="Consolas"/>
                <w:sz w:val="20"/>
              </w:rPr>
              <w:t>readonly_admin</w:t>
            </w:r>
            <w:r>
              <w:t xml:space="preserve"> (counsel) session</w:t>
            </w:r>
          </w:p>
        </w:tc>
        <w:tc>
          <w:tcPr>
            <w:tcW w:type="dxa" w:w="2412"/>
          </w:tcPr>
          <w:p>
            <w:r/>
            <w:r>
              <w:t>user_id, email, method, path, status_code, IP address, user-agent, timestamp</w:t>
            </w:r>
          </w:p>
        </w:tc>
        <w:tc>
          <w:tcPr>
            <w:tcW w:type="dxa" w:w="2412"/>
          </w:tcPr>
          <w:p>
            <w:r/>
            <w:r>
              <w:rPr>
                <w:b/>
              </w:rPr>
              <w:t>Manual purge only</w:t>
            </w:r>
            <w:r>
              <w:t xml:space="preserve"> — admin can purge from </w:t>
            </w:r>
            <w:hyperlink r:id="rId33">
              <w:r>
                <w:rPr>
                  <w:color w:val="0563C1"/>
                  <w:u w:val="single"/>
                </w:rPr>
                <w:t xml:space="preserve">/admin/counsel-activity</w:t>
              </w:r>
            </w:hyperlink>
            <w:r>
              <w:t xml:space="preserve"> after a review cycle closes</w:t>
            </w:r>
          </w:p>
        </w:tc>
      </w:tr>
      <w:tr>
        <w:tc>
          <w:tcPr>
            <w:tcW w:type="dxa" w:w="2412"/>
          </w:tcPr>
          <w:p>
            <w:r/>
            <w:r>
              <w:rPr>
                <w:rFonts w:ascii="Consolas" w:hAnsi="Consolas"/>
                <w:sz w:val="20"/>
              </w:rPr>
              <w:t>counsel_review_status</w:t>
            </w:r>
          </w:p>
        </w:tc>
        <w:tc>
          <w:tcPr>
            <w:tcW w:type="dxa" w:w="2412"/>
          </w:tcPr>
          <w:p>
            <w:r/>
            <w:r>
              <w:t>Counsel's manual sign-off on each legal draft (initials, notes, timestamp), plus auto-derived indicator of whether counsel actually opened each document URL</w:t>
            </w:r>
          </w:p>
        </w:tc>
        <w:tc>
          <w:tcPr>
            <w:tcW w:type="dxa" w:w="2412"/>
          </w:tcPr>
          <w:p>
            <w:r/>
            <w:r>
              <w:t>slug, user_id, email, manual_reviewed, manual_initials, notes, updated_at</w:t>
            </w:r>
          </w:p>
        </w:tc>
        <w:tc>
          <w:tcPr>
            <w:tcW w:type="dxa" w:w="2412"/>
          </w:tcPr>
          <w:p>
            <w:r/>
            <w:r>
              <w:rPr>
                <w:b/>
              </w:rPr>
              <w:t>Retained indefinitely</w:t>
            </w:r>
            <w:r>
              <w:t xml:space="preserve"> — this is the durable audit trail of counsel's review</w:t>
            </w:r>
          </w:p>
        </w:tc>
      </w:tr>
    </w:tbl>
    <w:p/>
    <w:p>
      <w:r>
        <w:rPr>
          <w:b/>
        </w:rPr>
        <w:t>Erasure policy for audit data:</w:t>
      </w:r>
      <w:r>
        <w:t xml:space="preserve"> Per product decision, audit rows are retained even after the underlying user account is deleted. This preserves the security timeline for legal defense (e.g., a former admin later disputes an action they took). This is a deliberate carve-out from the general right-of-erasure under GDPR Article 17 and CCPA §1798.105 and MUST be surfaced explicitly in the Privacy Policy as a legitimate-interests processing basis.</w:t>
      </w:r>
    </w:p>
    <w:p>
      <w:r>
        <w:rPr>
          <w:b/>
        </w:rPr>
        <w:t>User transparency:</w:t>
      </w:r>
      <w:r>
        <w:t xml:space="preserve"> Every authenticated user can view their own Tier 1 events at </w:t>
      </w:r>
      <w:hyperlink r:id="rId34">
        <w:r>
          <w:rPr>
            <w:color w:val="0563C1"/>
            <w:u w:val="single"/>
          </w:rPr>
          <w:t xml:space="preserve">/account/activity</w:t>
        </w:r>
      </w:hyperlink>
      <w:r>
        <w:t>. Admin URL traces (Tier 2) are hidden from user-facing view.</w:t>
      </w:r>
    </w:p>
    <w:p>
      <w:r>
        <w:rPr>
          <w:b/>
        </w:rPr>
        <w:t>Counsel access to the audit:</w:t>
      </w:r>
      <w:r>
        <w:t xml:space="preserve"> Counsel accounts are blocked from viewing any activity log — including their own. The endpoints return HTTP 403 with an explanatory message. This protects the audit trail from a compromised counsel session and is called out in draft §8b, item 22 below (Counsel Terms of Access).</w:t>
      </w:r>
    </w:p>
    <w:p>
      <w:r>
        <w:rPr>
          <w:b/>
        </w:rPr>
        <w:t>Key legal questions for counsel:</w:t>
      </w:r>
    </w:p>
    <w:p>
      <w:pPr>
        <w:pStyle w:val="ListNumber"/>
      </w:pPr>
      <w:r>
        <w:t>Confirm the Privacy Policy adequately discloses IP + user-agent capture on login and admin activity as personal data under GDPR/CCPA.</w:t>
      </w:r>
    </w:p>
    <w:p>
      <w:pPr>
        <w:pStyle w:val="ListNumber"/>
      </w:pPr>
      <w:r>
        <w:t>Confirm the "audit rows retained after account deletion" carve-out is defensible under a "legitimate interests" balancing test (Article 6(1)(f) GDPR) and CCPA's exception for legal compliance.</w:t>
      </w:r>
    </w:p>
    <w:p>
      <w:pPr>
        <w:pStyle w:val="ListNumber"/>
      </w:pPr>
      <w:r>
        <w:t>Decide whether counsel should countersign a short "Counsel Terms of Access" acknowledging their session is logged (see draft §8b item 22).</w:t>
      </w:r>
    </w:p>
    <w:p>
      <w:pPr>
        <w:pStyle w:val="ListNumber"/>
      </w:pPr>
      <w:r>
        <w:t>Decide whether the Board Member / Officer Agreement (draft #11) needs a "no expectation of privacy on admin console" clause acknowledging admin URL trace.</w:t>
      </w:r>
    </w:p>
    <w:p/>
    <w:p/>
    <w:p>
      <w:pPr>
        <w:pStyle w:val="Heading2"/>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pPr>
      <w:r>
        <w:t>8b. Draft documents — public download links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Draft</w:t>
            </w:r>
          </w:p>
        </w:tc>
        <w:tc>
          <w:tcPr>
            <w:tcW w:type="dxa" w:w="2412"/>
          </w:tcPr>
          <w:p>
            <w:r>
              <w:rPr>
                <w:b/>
              </w:rPr>
            </w:r>
            <w:r>
              <w:rPr>
                <w:b/>
              </w:rPr>
              <w:t>Category</w:t>
            </w:r>
          </w:p>
        </w:tc>
        <w:tc>
          <w:tcPr>
            <w:tcW w:type="dxa" w:w="2412"/>
          </w:tcPr>
          <w:p>
            <w:r>
              <w:rPr>
                <w:b/>
              </w:rPr>
            </w:r>
            <w:r>
              <w:rPr>
                <w:b/>
              </w:rPr>
              <w:t>Public download</w:t>
            </w:r>
          </w:p>
        </w:tc>
      </w:tr>
      <w:tr>
        <w:tc>
          <w:tcPr>
            <w:tcW w:type="dxa" w:w="2412"/>
          </w:tcPr>
          <w:p>
            <w:r/>
            <w:r>
              <w:t>1</w:t>
            </w:r>
          </w:p>
        </w:tc>
        <w:tc>
          <w:tcPr>
            <w:tcW w:type="dxa" w:w="2412"/>
          </w:tcPr>
          <w:p>
            <w:r/>
            <w:r>
              <w:rPr>
                <w:b/>
              </w:rPr>
              <w:t>Counsel Review Plan — Segmented Effort &amp; Time Budget</w:t>
            </w:r>
          </w:p>
        </w:tc>
        <w:tc>
          <w:tcPr>
            <w:tcW w:type="dxa" w:w="2412"/>
          </w:tcPr>
          <w:p>
            <w:r/>
            <w:r>
              <w:t>Briefing</w:t>
            </w:r>
          </w:p>
        </w:tc>
        <w:tc>
          <w:tcPr>
            <w:tcW w:type="dxa" w:w="2412"/>
          </w:tcPr>
          <w:p>
            <w:r/>
            <w:hyperlink r:id="rId35">
              <w:r>
                <w:rPr>
                  <w:color w:val="0563C1"/>
                  <w:u w:val="single"/>
                </w:rPr>
                <w:t xml:space="preserve">https://birthright.live/api/legal/drafts/00-counsel-review-plan</w:t>
              </w:r>
            </w:hyperlink>
          </w:p>
        </w:tc>
      </w:tr>
      <w:tr>
        <w:tc>
          <w:tcPr>
            <w:tcW w:type="dxa" w:w="2412"/>
          </w:tcPr>
          <w:p>
            <w:r/>
            <w:r>
              <w:t>2</w:t>
            </w:r>
          </w:p>
        </w:tc>
        <w:tc>
          <w:tcPr>
            <w:tcW w:type="dxa" w:w="2412"/>
          </w:tcPr>
          <w:p>
            <w:r/>
            <w:r>
              <w:rPr>
                <w:b/>
              </w:rPr>
              <w:t>Counsel User Guide — Minimise Billable Time</w:t>
            </w:r>
          </w:p>
        </w:tc>
        <w:tc>
          <w:tcPr>
            <w:tcW w:type="dxa" w:w="2412"/>
          </w:tcPr>
          <w:p>
            <w:r/>
            <w:r>
              <w:t>Briefing</w:t>
            </w:r>
          </w:p>
        </w:tc>
        <w:tc>
          <w:tcPr>
            <w:tcW w:type="dxa" w:w="2412"/>
          </w:tcPr>
          <w:p>
            <w:r/>
            <w:hyperlink r:id="rId36">
              <w:r>
                <w:rPr>
                  <w:color w:val="0563C1"/>
                  <w:u w:val="single"/>
                </w:rPr>
                <w:t xml:space="preserve">https://birthright.live/api/legal/drafts/00a-counsel-user-guide</w:t>
              </w:r>
            </w:hyperlink>
          </w:p>
        </w:tc>
      </w:tr>
      <w:tr>
        <w:tc>
          <w:tcPr>
            <w:tcW w:type="dxa" w:w="2412"/>
          </w:tcPr>
          <w:p>
            <w:r/>
            <w:r>
              <w:t>3</w:t>
            </w:r>
          </w:p>
        </w:tc>
        <w:tc>
          <w:tcPr>
            <w:tcW w:type="dxa" w:w="2412"/>
          </w:tcPr>
          <w:p>
            <w:r/>
            <w:r>
              <w:rPr>
                <w:b/>
              </w:rPr>
              <w:t>Terms of Service (Draft)</w:t>
            </w:r>
          </w:p>
        </w:tc>
        <w:tc>
          <w:tcPr>
            <w:tcW w:type="dxa" w:w="2412"/>
          </w:tcPr>
          <w:p>
            <w:r/>
            <w:r>
              <w:t>Public-facing</w:t>
            </w:r>
          </w:p>
        </w:tc>
        <w:tc>
          <w:tcPr>
            <w:tcW w:type="dxa" w:w="2412"/>
          </w:tcPr>
          <w:p>
            <w:r/>
            <w:hyperlink r:id="rId37">
              <w:r>
                <w:rPr>
                  <w:color w:val="0563C1"/>
                  <w:u w:val="single"/>
                </w:rPr>
                <w:t xml:space="preserve">https://birthright.live/api/legal/drafts/01-terms-of-service</w:t>
              </w:r>
            </w:hyperlink>
          </w:p>
        </w:tc>
      </w:tr>
      <w:tr>
        <w:tc>
          <w:tcPr>
            <w:tcW w:type="dxa" w:w="2412"/>
          </w:tcPr>
          <w:p>
            <w:r/>
            <w:r>
              <w:t>4</w:t>
            </w:r>
          </w:p>
        </w:tc>
        <w:tc>
          <w:tcPr>
            <w:tcW w:type="dxa" w:w="2412"/>
          </w:tcPr>
          <w:p>
            <w:r/>
            <w:r>
              <w:rPr>
                <w:b/>
              </w:rPr>
              <w:t>Privacy Policy (Draft)</w:t>
            </w:r>
          </w:p>
        </w:tc>
        <w:tc>
          <w:tcPr>
            <w:tcW w:type="dxa" w:w="2412"/>
          </w:tcPr>
          <w:p>
            <w:r/>
            <w:r>
              <w:t>Public-facing</w:t>
            </w:r>
          </w:p>
        </w:tc>
        <w:tc>
          <w:tcPr>
            <w:tcW w:type="dxa" w:w="2412"/>
          </w:tcPr>
          <w:p>
            <w:r/>
            <w:hyperlink r:id="rId38">
              <w:r>
                <w:rPr>
                  <w:color w:val="0563C1"/>
                  <w:u w:val="single"/>
                </w:rPr>
                <w:t xml:space="preserve">https://birthright.live/api/legal/drafts/02-privacy-policy</w:t>
              </w:r>
            </w:hyperlink>
          </w:p>
        </w:tc>
      </w:tr>
      <w:tr>
        <w:tc>
          <w:tcPr>
            <w:tcW w:type="dxa" w:w="2412"/>
          </w:tcPr>
          <w:p>
            <w:r/>
            <w:r>
              <w:t>5</w:t>
            </w:r>
          </w:p>
        </w:tc>
        <w:tc>
          <w:tcPr>
            <w:tcW w:type="dxa" w:w="2412"/>
          </w:tcPr>
          <w:p>
            <w:r/>
            <w:r>
              <w:rPr>
                <w:b/>
              </w:rPr>
              <w:t>Cookie &amp; Tracking Notice (Draft)</w:t>
            </w:r>
          </w:p>
        </w:tc>
        <w:tc>
          <w:tcPr>
            <w:tcW w:type="dxa" w:w="2412"/>
          </w:tcPr>
          <w:p>
            <w:r/>
            <w:r>
              <w:t>Public-facing</w:t>
            </w:r>
          </w:p>
        </w:tc>
        <w:tc>
          <w:tcPr>
            <w:tcW w:type="dxa" w:w="2412"/>
          </w:tcPr>
          <w:p>
            <w:r/>
            <w:hyperlink r:id="rId39">
              <w:r>
                <w:rPr>
                  <w:color w:val="0563C1"/>
                  <w:u w:val="single"/>
                </w:rPr>
                <w:t xml:space="preserve">https://birthright.live/api/legal/drafts/03-cookie-notice</w:t>
              </w:r>
            </w:hyperlink>
          </w:p>
        </w:tc>
      </w:tr>
      <w:tr>
        <w:tc>
          <w:tcPr>
            <w:tcW w:type="dxa" w:w="2412"/>
          </w:tcPr>
          <w:p>
            <w:r/>
            <w:r>
              <w:t>6</w:t>
            </w:r>
          </w:p>
        </w:tc>
        <w:tc>
          <w:tcPr>
            <w:tcW w:type="dxa" w:w="2412"/>
          </w:tcPr>
          <w:p>
            <w:r/>
            <w:r>
              <w:rPr>
                <w:b/>
              </w:rPr>
              <w:t>Universal Indemnification &amp; Hold-Harmless Agreement (Draft)</w:t>
            </w:r>
          </w:p>
        </w:tc>
        <w:tc>
          <w:tcPr>
            <w:tcW w:type="dxa" w:w="2412"/>
          </w:tcPr>
          <w:p>
            <w:r/>
            <w:r>
              <w:t>Public-facing</w:t>
            </w:r>
          </w:p>
        </w:tc>
        <w:tc>
          <w:tcPr>
            <w:tcW w:type="dxa" w:w="2412"/>
          </w:tcPr>
          <w:p>
            <w:r/>
            <w:hyperlink r:id="rId40">
              <w:r>
                <w:rPr>
                  <w:color w:val="0563C1"/>
                  <w:u w:val="single"/>
                </w:rPr>
                <w:t xml:space="preserve">https://birthright.live/api/legal/drafts/04-indemnification-hold-harmless</w:t>
              </w:r>
            </w:hyperlink>
          </w:p>
        </w:tc>
      </w:tr>
      <w:tr>
        <w:tc>
          <w:tcPr>
            <w:tcW w:type="dxa" w:w="2412"/>
          </w:tcPr>
          <w:p>
            <w:r/>
            <w:r>
              <w:t>7</w:t>
            </w:r>
          </w:p>
        </w:tc>
        <w:tc>
          <w:tcPr>
            <w:tcW w:type="dxa" w:w="2412"/>
          </w:tcPr>
          <w:p>
            <w:r/>
            <w:r>
              <w:rPr>
                <w:b/>
              </w:rPr>
              <w:t>Facilitator Services Agreement + IP Assignment (Draft)</w:t>
            </w:r>
          </w:p>
        </w:tc>
        <w:tc>
          <w:tcPr>
            <w:tcW w:type="dxa" w:w="2412"/>
          </w:tcPr>
          <w:p>
            <w:r/>
            <w:r>
              <w:t>Partner agreements</w:t>
            </w:r>
          </w:p>
        </w:tc>
        <w:tc>
          <w:tcPr>
            <w:tcW w:type="dxa" w:w="2412"/>
          </w:tcPr>
          <w:p>
            <w:r/>
            <w:hyperlink r:id="rId41">
              <w:r>
                <w:rPr>
                  <w:color w:val="0563C1"/>
                  <w:u w:val="single"/>
                </w:rPr>
                <w:t xml:space="preserve">https://birthright.live/api/legal/drafts/05-facilitator-services-agreement</w:t>
              </w:r>
            </w:hyperlink>
          </w:p>
        </w:tc>
      </w:tr>
      <w:tr>
        <w:tc>
          <w:tcPr>
            <w:tcW w:type="dxa" w:w="2412"/>
          </w:tcPr>
          <w:p>
            <w:r/>
            <w:r>
              <w:t>8</w:t>
            </w:r>
          </w:p>
        </w:tc>
        <w:tc>
          <w:tcPr>
            <w:tcW w:type="dxa" w:w="2412"/>
          </w:tcPr>
          <w:p>
            <w:r/>
            <w:r>
              <w:rPr>
                <w:b/>
              </w:rPr>
              <w:t>Artist Consignment / Gallery Partner Agreement (Draft)</w:t>
            </w:r>
          </w:p>
        </w:tc>
        <w:tc>
          <w:tcPr>
            <w:tcW w:type="dxa" w:w="2412"/>
          </w:tcPr>
          <w:p>
            <w:r/>
            <w:r>
              <w:t>Partner agreements</w:t>
            </w:r>
          </w:p>
        </w:tc>
        <w:tc>
          <w:tcPr>
            <w:tcW w:type="dxa" w:w="2412"/>
          </w:tcPr>
          <w:p>
            <w:r/>
            <w:hyperlink r:id="rId42">
              <w:r>
                <w:rPr>
                  <w:color w:val="0563C1"/>
                  <w:u w:val="single"/>
                </w:rPr>
                <w:t xml:space="preserve">https://birthright.live/api/legal/drafts/06-artist-consignment-agreement</w:t>
              </w:r>
            </w:hyperlink>
          </w:p>
        </w:tc>
      </w:tr>
      <w:tr>
        <w:tc>
          <w:tcPr>
            <w:tcW w:type="dxa" w:w="2412"/>
          </w:tcPr>
          <w:p>
            <w:r/>
            <w:r>
              <w:t>9</w:t>
            </w:r>
          </w:p>
        </w:tc>
        <w:tc>
          <w:tcPr>
            <w:tcW w:type="dxa" w:w="2412"/>
          </w:tcPr>
          <w:p>
            <w:r/>
            <w:r>
              <w:rPr>
                <w:b/>
              </w:rPr>
              <w:t>Vendor Supplier / Dropship Agreement (Draft, 7C's Farmstead first)</w:t>
            </w:r>
          </w:p>
        </w:tc>
        <w:tc>
          <w:tcPr>
            <w:tcW w:type="dxa" w:w="2412"/>
          </w:tcPr>
          <w:p>
            <w:r/>
            <w:r>
              <w:t>Partner agreements</w:t>
            </w:r>
          </w:p>
        </w:tc>
        <w:tc>
          <w:tcPr>
            <w:tcW w:type="dxa" w:w="2412"/>
          </w:tcPr>
          <w:p>
            <w:r/>
            <w:hyperlink r:id="rId43">
              <w:r>
                <w:rPr>
                  <w:color w:val="0563C1"/>
                  <w:u w:val="single"/>
                </w:rPr>
                <w:t xml:space="preserve">https://birthright.live/api/legal/drafts/07-vendor-supplier-agreement</w:t>
              </w:r>
            </w:hyperlink>
          </w:p>
        </w:tc>
      </w:tr>
      <w:tr>
        <w:tc>
          <w:tcPr>
            <w:tcW w:type="dxa" w:w="2412"/>
          </w:tcPr>
          <w:p>
            <w:r/>
            <w:r>
              <w:t>10</w:t>
            </w:r>
          </w:p>
        </w:tc>
        <w:tc>
          <w:tcPr>
            <w:tcW w:type="dxa" w:w="2412"/>
          </w:tcPr>
          <w:p>
            <w:r/>
            <w:r>
              <w:rPr>
                <w:b/>
              </w:rPr>
              <w:t>Community Partner Referral Agreement (Draft)</w:t>
            </w:r>
          </w:p>
        </w:tc>
        <w:tc>
          <w:tcPr>
            <w:tcW w:type="dxa" w:w="2412"/>
          </w:tcPr>
          <w:p>
            <w:r/>
            <w:r>
              <w:t>Partner agreements</w:t>
            </w:r>
          </w:p>
        </w:tc>
        <w:tc>
          <w:tcPr>
            <w:tcW w:type="dxa" w:w="2412"/>
          </w:tcPr>
          <w:p>
            <w:r/>
            <w:hyperlink r:id="rId44">
              <w:r>
                <w:rPr>
                  <w:color w:val="0563C1"/>
                  <w:u w:val="single"/>
                </w:rPr>
                <w:t xml:space="preserve">https://birthright.live/api/legal/drafts/08-community-partner-referral-agreement</w:t>
              </w:r>
            </w:hyperlink>
          </w:p>
        </w:tc>
      </w:tr>
      <w:tr>
        <w:tc>
          <w:tcPr>
            <w:tcW w:type="dxa" w:w="2412"/>
          </w:tcPr>
          <w:p>
            <w:r/>
            <w:r>
              <w:t>11</w:t>
            </w:r>
          </w:p>
        </w:tc>
        <w:tc>
          <w:tcPr>
            <w:tcW w:type="dxa" w:w="2412"/>
          </w:tcPr>
          <w:p>
            <w:r/>
            <w:r>
              <w:rPr>
                <w:b/>
              </w:rPr>
              <w:t>Sponsorship Agreement / Sponsor Recognition Consent (Draft)</w:t>
            </w:r>
          </w:p>
        </w:tc>
        <w:tc>
          <w:tcPr>
            <w:tcW w:type="dxa" w:w="2412"/>
          </w:tcPr>
          <w:p>
            <w:r/>
            <w:r>
              <w:t>Partner agreements</w:t>
            </w:r>
          </w:p>
        </w:tc>
        <w:tc>
          <w:tcPr>
            <w:tcW w:type="dxa" w:w="2412"/>
          </w:tcPr>
          <w:p>
            <w:r/>
            <w:hyperlink r:id="rId45">
              <w:r>
                <w:rPr>
                  <w:color w:val="0563C1"/>
                  <w:u w:val="single"/>
                </w:rPr>
                <w:t xml:space="preserve">https://birthright.live/api/legal/drafts/09-sponsorship-agreement</w:t>
              </w:r>
            </w:hyperlink>
          </w:p>
        </w:tc>
      </w:tr>
      <w:tr>
        <w:tc>
          <w:tcPr>
            <w:tcW w:type="dxa" w:w="2412"/>
          </w:tcPr>
          <w:p>
            <w:r/>
            <w:r>
              <w:t>12</w:t>
            </w:r>
          </w:p>
        </w:tc>
        <w:tc>
          <w:tcPr>
            <w:tcW w:type="dxa" w:w="2412"/>
          </w:tcPr>
          <w:p>
            <w:r/>
            <w:r>
              <w:rPr>
                <w:b/>
              </w:rPr>
              <w:t>Sliding-Scale &amp; Scholarship Terms (Draft)</w:t>
            </w:r>
          </w:p>
        </w:tc>
        <w:tc>
          <w:tcPr>
            <w:tcW w:type="dxa" w:w="2412"/>
          </w:tcPr>
          <w:p>
            <w:r/>
            <w:r>
              <w:t>Public-facing</w:t>
            </w:r>
          </w:p>
        </w:tc>
        <w:tc>
          <w:tcPr>
            <w:tcW w:type="dxa" w:w="2412"/>
          </w:tcPr>
          <w:p>
            <w:r/>
            <w:hyperlink r:id="rId46">
              <w:r>
                <w:rPr>
                  <w:color w:val="0563C1"/>
                  <w:u w:val="single"/>
                </w:rPr>
                <w:t xml:space="preserve">https://birthright.live/api/legal/drafts/10-sliding-scale-scholarship-terms</w:t>
              </w:r>
            </w:hyperlink>
          </w:p>
        </w:tc>
      </w:tr>
      <w:tr>
        <w:tc>
          <w:tcPr>
            <w:tcW w:type="dxa" w:w="2412"/>
          </w:tcPr>
          <w:p>
            <w:r/>
            <w:r>
              <w:t>13</w:t>
            </w:r>
          </w:p>
        </w:tc>
        <w:tc>
          <w:tcPr>
            <w:tcW w:type="dxa" w:w="2412"/>
          </w:tcPr>
          <w:p>
            <w:r/>
            <w:r>
              <w:rPr>
                <w:b/>
              </w:rPr>
              <w:t>Board Member / Officer Agreement + D&amp;O Coverage (Draft)</w:t>
            </w:r>
          </w:p>
        </w:tc>
        <w:tc>
          <w:tcPr>
            <w:tcW w:type="dxa" w:w="2412"/>
          </w:tcPr>
          <w:p>
            <w:r/>
            <w:r>
              <w:t>Governance</w:t>
            </w:r>
          </w:p>
        </w:tc>
        <w:tc>
          <w:tcPr>
            <w:tcW w:type="dxa" w:w="2412"/>
          </w:tcPr>
          <w:p>
            <w:r/>
            <w:hyperlink r:id="rId47">
              <w:r>
                <w:rPr>
                  <w:color w:val="0563C1"/>
                  <w:u w:val="single"/>
                </w:rPr>
                <w:t xml:space="preserve">https://birthright.live/api/legal/drafts/11-board-officer-agreement</w:t>
              </w:r>
            </w:hyperlink>
          </w:p>
        </w:tc>
      </w:tr>
      <w:tr>
        <w:tc>
          <w:tcPr>
            <w:tcW w:type="dxa" w:w="2412"/>
          </w:tcPr>
          <w:p>
            <w:r/>
            <w:r>
              <w:t>14</w:t>
            </w:r>
          </w:p>
        </w:tc>
        <w:tc>
          <w:tcPr>
            <w:tcW w:type="dxa" w:w="2412"/>
          </w:tcPr>
          <w:p>
            <w:r/>
            <w:r>
              <w:rPr>
                <w:b/>
              </w:rPr>
              <w:t>Foundation Working-Group Volunteer Agreement (Draft)</w:t>
            </w:r>
          </w:p>
        </w:tc>
        <w:tc>
          <w:tcPr>
            <w:tcW w:type="dxa" w:w="2412"/>
          </w:tcPr>
          <w:p>
            <w:r/>
            <w:r>
              <w:t>Governance</w:t>
            </w:r>
          </w:p>
        </w:tc>
        <w:tc>
          <w:tcPr>
            <w:tcW w:type="dxa" w:w="2412"/>
          </w:tcPr>
          <w:p>
            <w:r/>
            <w:hyperlink r:id="rId48">
              <w:r>
                <w:rPr>
                  <w:color w:val="0563C1"/>
                  <w:u w:val="single"/>
                </w:rPr>
                <w:t xml:space="preserve">https://birthright.live/api/legal/drafts/12-volunteer-agreement</w:t>
              </w:r>
            </w:hyperlink>
          </w:p>
        </w:tc>
      </w:tr>
      <w:tr>
        <w:tc>
          <w:tcPr>
            <w:tcW w:type="dxa" w:w="2412"/>
          </w:tcPr>
          <w:p>
            <w:r/>
            <w:r>
              <w:t>15</w:t>
            </w:r>
          </w:p>
        </w:tc>
        <w:tc>
          <w:tcPr>
            <w:tcW w:type="dxa" w:w="2412"/>
          </w:tcPr>
          <w:p>
            <w:r/>
            <w:r>
              <w:rPr>
                <w:b/>
              </w:rPr>
              <w:t>Ombudsman Charter (Draft)</w:t>
            </w:r>
          </w:p>
        </w:tc>
        <w:tc>
          <w:tcPr>
            <w:tcW w:type="dxa" w:w="2412"/>
          </w:tcPr>
          <w:p>
            <w:r/>
            <w:r>
              <w:t>Governance</w:t>
            </w:r>
          </w:p>
        </w:tc>
        <w:tc>
          <w:tcPr>
            <w:tcW w:type="dxa" w:w="2412"/>
          </w:tcPr>
          <w:p>
            <w:r/>
            <w:hyperlink r:id="rId49">
              <w:r>
                <w:rPr>
                  <w:color w:val="0563C1"/>
                  <w:u w:val="single"/>
                </w:rPr>
                <w:t xml:space="preserve">https://birthright.live/api/legal/drafts/13-ombudsman-charter</w:t>
              </w:r>
            </w:hyperlink>
          </w:p>
        </w:tc>
      </w:tr>
      <w:tr>
        <w:tc>
          <w:tcPr>
            <w:tcW w:type="dxa" w:w="2412"/>
          </w:tcPr>
          <w:p>
            <w:r/>
            <w:r>
              <w:t>16</w:t>
            </w:r>
          </w:p>
        </w:tc>
        <w:tc>
          <w:tcPr>
            <w:tcW w:type="dxa" w:w="2412"/>
          </w:tcPr>
          <w:p>
            <w:r/>
            <w:r>
              <w:rPr>
                <w:b/>
              </w:rPr>
              <w:t>Content Moderation &amp; Community Standards Policy (Draft)</w:t>
            </w:r>
          </w:p>
        </w:tc>
        <w:tc>
          <w:tcPr>
            <w:tcW w:type="dxa" w:w="2412"/>
          </w:tcPr>
          <w:p>
            <w:r/>
            <w:r>
              <w:t>Public-facing</w:t>
            </w:r>
          </w:p>
        </w:tc>
        <w:tc>
          <w:tcPr>
            <w:tcW w:type="dxa" w:w="2412"/>
          </w:tcPr>
          <w:p>
            <w:r/>
            <w:hyperlink r:id="rId50">
              <w:r>
                <w:rPr>
                  <w:color w:val="0563C1"/>
                  <w:u w:val="single"/>
                </w:rPr>
                <w:t xml:space="preserve">https://birthright.live/api/legal/drafts/14-community-standards</w:t>
              </w:r>
            </w:hyperlink>
          </w:p>
        </w:tc>
      </w:tr>
      <w:tr>
        <w:tc>
          <w:tcPr>
            <w:tcW w:type="dxa" w:w="2412"/>
          </w:tcPr>
          <w:p>
            <w:r/>
            <w:r>
              <w:t>17</w:t>
            </w:r>
          </w:p>
        </w:tc>
        <w:tc>
          <w:tcPr>
            <w:tcW w:type="dxa" w:w="2412"/>
          </w:tcPr>
          <w:p>
            <w:r/>
            <w:r>
              <w:rPr>
                <w:b/>
              </w:rPr>
              <w:t>Refund &amp; Returns Policy (Draft, Public)</w:t>
            </w:r>
          </w:p>
        </w:tc>
        <w:tc>
          <w:tcPr>
            <w:tcW w:type="dxa" w:w="2412"/>
          </w:tcPr>
          <w:p>
            <w:r/>
            <w:r>
              <w:t>Public-facing</w:t>
            </w:r>
          </w:p>
        </w:tc>
        <w:tc>
          <w:tcPr>
            <w:tcW w:type="dxa" w:w="2412"/>
          </w:tcPr>
          <w:p>
            <w:r/>
            <w:hyperlink r:id="rId51">
              <w:r>
                <w:rPr>
                  <w:color w:val="0563C1"/>
                  <w:u w:val="single"/>
                </w:rPr>
                <w:t xml:space="preserve">https://birthright.live/api/legal/drafts/15-refund-returns-policy</w:t>
              </w:r>
            </w:hyperlink>
          </w:p>
        </w:tc>
      </w:tr>
      <w:tr>
        <w:tc>
          <w:tcPr>
            <w:tcW w:type="dxa" w:w="2412"/>
          </w:tcPr>
          <w:p>
            <w:r/>
            <w:r>
              <w:t>18</w:t>
            </w:r>
          </w:p>
        </w:tc>
        <w:tc>
          <w:tcPr>
            <w:tcW w:type="dxa" w:w="2412"/>
          </w:tcPr>
          <w:p>
            <w:r/>
            <w:r>
              <w:rPr>
                <w:b/>
              </w:rPr>
              <w:t>Sales-Tax Registration Plan (Draft)</w:t>
            </w:r>
          </w:p>
        </w:tc>
        <w:tc>
          <w:tcPr>
            <w:tcW w:type="dxa" w:w="2412"/>
          </w:tcPr>
          <w:p>
            <w:r/>
            <w:r>
              <w:t>Internal / Compliance</w:t>
            </w:r>
          </w:p>
        </w:tc>
        <w:tc>
          <w:tcPr>
            <w:tcW w:type="dxa" w:w="2412"/>
          </w:tcPr>
          <w:p>
            <w:r/>
            <w:hyperlink r:id="rId52">
              <w:r>
                <w:rPr>
                  <w:color w:val="0563C1"/>
                  <w:u w:val="single"/>
                </w:rPr>
                <w:t xml:space="preserve">https://birthright.live/api/legal/drafts/16-sales-tax-registration-plan</w:t>
              </w:r>
            </w:hyperlink>
          </w:p>
        </w:tc>
      </w:tr>
      <w:tr>
        <w:tc>
          <w:tcPr>
            <w:tcW w:type="dxa" w:w="2412"/>
          </w:tcPr>
          <w:p>
            <w:r/>
            <w:r>
              <w:t>19</w:t>
            </w:r>
          </w:p>
        </w:tc>
        <w:tc>
          <w:tcPr>
            <w:tcW w:type="dxa" w:w="2412"/>
          </w:tcPr>
          <w:p>
            <w:r/>
            <w:r>
              <w:rPr>
                <w:b/>
              </w:rPr>
              <w:t>Trademark Filings Plan (Draft)</w:t>
            </w:r>
          </w:p>
        </w:tc>
        <w:tc>
          <w:tcPr>
            <w:tcW w:type="dxa" w:w="2412"/>
          </w:tcPr>
          <w:p>
            <w:r/>
            <w:r>
              <w:t>Internal / IP</w:t>
            </w:r>
          </w:p>
        </w:tc>
        <w:tc>
          <w:tcPr>
            <w:tcW w:type="dxa" w:w="2412"/>
          </w:tcPr>
          <w:p>
            <w:r/>
            <w:hyperlink r:id="rId53">
              <w:r>
                <w:rPr>
                  <w:color w:val="0563C1"/>
                  <w:u w:val="single"/>
                </w:rPr>
                <w:t xml:space="preserve">https://birthright.live/api/legal/drafts/17-trademark-filings-plan</w:t>
              </w:r>
            </w:hyperlink>
          </w:p>
        </w:tc>
      </w:tr>
      <w:tr>
        <w:tc>
          <w:tcPr>
            <w:tcW w:type="dxa" w:w="2412"/>
          </w:tcPr>
          <w:p>
            <w:r/>
            <w:r>
              <w:t>20</w:t>
            </w:r>
          </w:p>
        </w:tc>
        <w:tc>
          <w:tcPr>
            <w:tcW w:type="dxa" w:w="2412"/>
          </w:tcPr>
          <w:p>
            <w:r/>
            <w:r>
              <w:rPr>
                <w:b/>
              </w:rPr>
              <w:t>Copyright Registration Strategy (Draft)</w:t>
            </w:r>
          </w:p>
        </w:tc>
        <w:tc>
          <w:tcPr>
            <w:tcW w:type="dxa" w:w="2412"/>
          </w:tcPr>
          <w:p>
            <w:r/>
            <w:r>
              <w:t>Internal / IP</w:t>
            </w:r>
          </w:p>
        </w:tc>
        <w:tc>
          <w:tcPr>
            <w:tcW w:type="dxa" w:w="2412"/>
          </w:tcPr>
          <w:p>
            <w:r/>
            <w:hyperlink r:id="rId54">
              <w:r>
                <w:rPr>
                  <w:color w:val="0563C1"/>
                  <w:u w:val="single"/>
                </w:rPr>
                <w:t xml:space="preserve">https://birthright.live/api/legal/drafts/18-copyright-registration-strategy</w:t>
              </w:r>
            </w:hyperlink>
          </w:p>
        </w:tc>
      </w:tr>
      <w:tr>
        <w:tc>
          <w:tcPr>
            <w:tcW w:type="dxa" w:w="2412"/>
          </w:tcPr>
          <w:p>
            <w:r/>
            <w:r>
              <w:t>21</w:t>
            </w:r>
          </w:p>
        </w:tc>
        <w:tc>
          <w:tcPr>
            <w:tcW w:type="dxa" w:w="2412"/>
          </w:tcPr>
          <w:p>
            <w:r/>
            <w:r>
              <w:rPr>
                <w:b/>
              </w:rPr>
              <w:t>Data Processing Agreement Template (Draft)</w:t>
            </w:r>
          </w:p>
        </w:tc>
        <w:tc>
          <w:tcPr>
            <w:tcW w:type="dxa" w:w="2412"/>
          </w:tcPr>
          <w:p>
            <w:r/>
            <w:r>
              <w:t>Governance</w:t>
            </w:r>
          </w:p>
        </w:tc>
        <w:tc>
          <w:tcPr>
            <w:tcW w:type="dxa" w:w="2412"/>
          </w:tcPr>
          <w:p>
            <w:r/>
            <w:hyperlink r:id="rId55">
              <w:r>
                <w:rPr>
                  <w:color w:val="0563C1"/>
                  <w:u w:val="single"/>
                </w:rPr>
                <w:t xml:space="preserve">https://birthright.live/api/legal/drafts/19-data-processing-agreement-template</w:t>
              </w:r>
            </w:hyperlink>
          </w:p>
        </w:tc>
      </w:tr>
      <w:tr>
        <w:tc>
          <w:tcPr>
            <w:tcW w:type="dxa" w:w="2412"/>
          </w:tcPr>
          <w:p>
            <w:r/>
            <w:r>
              <w:t>22</w:t>
            </w:r>
          </w:p>
        </w:tc>
        <w:tc>
          <w:tcPr>
            <w:tcW w:type="dxa" w:w="2412"/>
          </w:tcPr>
          <w:p>
            <w:r/>
            <w:r>
              <w:rPr>
                <w:b/>
              </w:rPr>
              <w:t>Nonprofit Governance Bundle (Draft — Articles, Bylaws, COI, Whistleblower, Retention)</w:t>
            </w:r>
          </w:p>
        </w:tc>
        <w:tc>
          <w:tcPr>
            <w:tcW w:type="dxa" w:w="2412"/>
          </w:tcPr>
          <w:p>
            <w:r/>
            <w:r>
              <w:t>Governance</w:t>
            </w:r>
          </w:p>
        </w:tc>
        <w:tc>
          <w:tcPr>
            <w:tcW w:type="dxa" w:w="2412"/>
          </w:tcPr>
          <w:p>
            <w:r/>
            <w:hyperlink r:id="rId56">
              <w:r>
                <w:rPr>
                  <w:color w:val="0563C1"/>
                  <w:u w:val="single"/>
                </w:rPr>
                <w:t xml:space="preserve">https://birthright.live/api/legal/drafts/20-nonprofit-governance-bundle</w:t>
              </w:r>
            </w:hyperlink>
          </w:p>
        </w:tc>
      </w:tr>
      <w:tr>
        <w:tc>
          <w:tcPr>
            <w:tcW w:type="dxa" w:w="2412"/>
          </w:tcPr>
          <w:p>
            <w:r/>
            <w:r>
              <w:t>23</w:t>
            </w:r>
          </w:p>
        </w:tc>
        <w:tc>
          <w:tcPr>
            <w:tcW w:type="dxa" w:w="2412"/>
          </w:tcPr>
          <w:p>
            <w:r/>
            <w:r>
              <w:rPr>
                <w:b/>
              </w:rPr>
              <w:t>State Charitable Solicitation Registration Plan (Draft)</w:t>
            </w:r>
          </w:p>
        </w:tc>
        <w:tc>
          <w:tcPr>
            <w:tcW w:type="dxa" w:w="2412"/>
          </w:tcPr>
          <w:p>
            <w:r/>
            <w:r>
              <w:t>Internal / Compliance</w:t>
            </w:r>
          </w:p>
        </w:tc>
        <w:tc>
          <w:tcPr>
            <w:tcW w:type="dxa" w:w="2412"/>
          </w:tcPr>
          <w:p>
            <w:r/>
            <w:hyperlink r:id="rId57">
              <w:r>
                <w:rPr>
                  <w:color w:val="0563C1"/>
                  <w:u w:val="single"/>
                </w:rPr>
                <w:t xml:space="preserve">https://birthright.live/api/legal/drafts/21-charitable-solicitation-plan</w:t>
              </w:r>
            </w:hyperlink>
          </w:p>
        </w:tc>
      </w:tr>
      <w:tr>
        <w:tc>
          <w:tcPr>
            <w:tcW w:type="dxa" w:w="2412"/>
          </w:tcPr>
          <w:p>
            <w:r/>
            <w:r>
              <w:t>24</w:t>
            </w:r>
          </w:p>
        </w:tc>
        <w:tc>
          <w:tcPr>
            <w:tcW w:type="dxa" w:w="2412"/>
          </w:tcPr>
          <w:p>
            <w:r/>
            <w:r>
              <w:rPr>
                <w:b/>
              </w:rPr>
              <w:t>ISTV Contract — Full Text Review &amp; Business Value Memo</w:t>
            </w:r>
          </w:p>
        </w:tc>
        <w:tc>
          <w:tcPr>
            <w:tcW w:type="dxa" w:w="2412"/>
          </w:tcPr>
          <w:p>
            <w:r/>
            <w:r>
              <w:t>Advisory memos</w:t>
            </w:r>
          </w:p>
        </w:tc>
        <w:tc>
          <w:tcPr>
            <w:tcW w:type="dxa" w:w="2412"/>
          </w:tcPr>
          <w:p>
            <w:r/>
            <w:hyperlink r:id="rId58">
              <w:r>
                <w:rPr>
                  <w:color w:val="0563C1"/>
                  <w:u w:val="single"/>
                </w:rPr>
                <w:t xml:space="preserve">https://birthright.live/api/legal/drafts/22-istv-contract-analysis-memo</w:t>
              </w:r>
            </w:hyperlink>
          </w:p>
        </w:tc>
      </w:tr>
    </w:tbl>
    <w:p/>
    <w:p>
      <w:pPr>
        <w:pStyle w:val="Heading3"/>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 </w:t>
      </w:r>
      <w:r>
        <w:rPr>
          <w:b/>
        </w:rPr>
        <w:t>security-audit data including IP address, user-agent, timestamps of every login and every admin session URL</w:t>
      </w:r>
      <w:r>
        <w:t>).</w:t>
      </w:r>
    </w:p>
    <w:p>
      <w:pPr>
        <w:pStyle w:val="ListBullet"/>
      </w:pPr>
      <w:r>
        <w:rPr>
          <w:b/>
        </w:rPr>
        <w:t>Purposes of processing</w:t>
      </w:r>
      <w:r>
        <w:t xml:space="preserve"> (service delivery, communications, billing, moderation, analytics, legal compliance, </w:t>
      </w:r>
      <w:r>
        <w:rPr>
          <w:b/>
        </w:rPr>
        <w:t>security monitoring and fraud prevention</w:t>
      </w:r>
      <w:r>
        <w:t>).</w:t>
      </w:r>
    </w:p>
    <w:p>
      <w:pPr>
        <w:pStyle w:val="ListBullet"/>
      </w:pPr>
      <w:r>
        <w:rPr>
          <w:b/>
        </w:rPr>
        <w:t>Legal bases</w:t>
      </w:r>
      <w:r>
        <w:t xml:space="preserve"> (contract performance, consent for marketing, </w:t>
      </w:r>
      <w:r>
        <w:rPr>
          <w:b/>
        </w:rPr>
        <w:t>legitimate interests (GDPR Article 6(1)(f)) for security audit logging</w:t>
      </w:r>
      <w:r>
        <w:t>).</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 including:</w:t>
      </w:r>
    </w:p>
    <w:p>
      <w:pPr>
        <w:pStyle w:val="ListBullet"/>
      </w:pPr>
      <w:r>
        <w:t>Security audit logs (</w:t>
      </w:r>
      <w:r>
        <w:rPr>
          <w:rFonts w:ascii="Consolas" w:hAnsi="Consolas"/>
          <w:sz w:val="20"/>
        </w:rPr>
        <w:t>user_activity_log</w:t>
      </w:r>
      <w:r>
        <w:t xml:space="preserve">): </w:t>
      </w:r>
      <w:r>
        <w:rPr>
          <w:b/>
        </w:rPr>
        <w:t>365 days rolling</w:t>
      </w:r>
    </w:p>
    <w:p>
      <w:pPr>
        <w:pStyle w:val="ListBullet"/>
      </w:pPr>
      <w:r>
        <w:t>Counsel activity logs (</w:t>
      </w:r>
      <w:r>
        <w:rPr>
          <w:rFonts w:ascii="Consolas" w:hAnsi="Consolas"/>
          <w:sz w:val="20"/>
        </w:rPr>
        <w:t>counsel_activity_log</w:t>
      </w:r>
      <w:r>
        <w:t>): retained until manual admin purge</w:t>
      </w:r>
    </w:p>
    <w:p>
      <w:pPr>
        <w:pStyle w:val="ListBullet"/>
      </w:pPr>
      <w:r>
        <w:t>Counsel review sign-offs (</w:t>
      </w:r>
      <w:r>
        <w:rPr>
          <w:rFonts w:ascii="Consolas" w:hAnsi="Consolas"/>
          <w:sz w:val="20"/>
        </w:rPr>
        <w:t>counsel_review_status</w:t>
      </w:r>
      <w:r>
        <w:t>): retained indefinitely as a durable audit record</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Erasure carve-out for audit logs</w:t>
      </w:r>
      <w:r>
        <w:t xml:space="preserve"> — *"When you delete your account, we will remove your personal profile and account records. Certain security audit entries (records of your sign-ins, password changes, and consent to legal agreements) will be retained for 365 days as part of our security-audit log, on the basis of our legitimate interests in maintaining a defensible security posture and complying with legal obligations. After 365 days, these entries are automatically purged."*</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pPr>
        <w:pStyle w:val="ListBullet"/>
      </w:pPr>
      <w:r>
        <w:rPr>
          <w:b/>
        </w:rPr>
        <w:t>No expectation of privacy on the admin console</w:t>
      </w:r>
      <w:r>
        <w:t xml:space="preserve"> — *"You acknowledge that all activity on the Birthright administrative console (URLs under </w:t>
      </w:r>
      <w:hyperlink r:id="rId59">
        <w:r>
          <w:rPr>
            <w:color w:val="0563C1"/>
            <w:u w:val="single"/>
          </w:rPr>
          <w:t xml:space="preserve">/admin/*</w:t>
        </w:r>
      </w:hyperlink>
      <w:r>
        <w:t>, mutating API calls, sign-ins from admin accounts) is automatically logged to an internal audit trail visible to other administrators and to Board members with governance oversight duties. This logging is part of the Foundation's security posture and is retained for 365 days on a rolling basis. You have no expectation of privacy in these logs when acting in your administrative capacity."*</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r>
        <w:rPr>
          <w:b/>
        </w:rPr>
        <w:t>22. Counsel Terms of Access (new — recommended)</w:t>
      </w:r>
      <w:r>
        <w:t xml:space="preserve"> — Recommended core clauses:</w:t>
      </w:r>
    </w:p>
    <w:p>
      <w:pPr>
        <w:pStyle w:val="ListBullet"/>
      </w:pPr>
      <w:r>
        <w:rPr>
          <w:b/>
        </w:rPr>
        <w:t>Scope of access.</w:t>
      </w:r>
      <w:r>
        <w:t xml:space="preserve"> Foundation grants counsel a personal, non-transferable, read-only account (role </w:t>
      </w:r>
      <w:r>
        <w:rPr>
          <w:rFonts w:ascii="Consolas" w:hAnsi="Consolas"/>
          <w:sz w:val="20"/>
        </w:rPr>
        <w:t>readonly_admin</w:t>
      </w:r>
      <w:r>
        <w:t>) for the sole purpose of reviewing the platform in support of the engagement.</w:t>
      </w:r>
    </w:p>
    <w:p>
      <w:pPr>
        <w:pStyle w:val="ListBullet"/>
      </w:pPr>
      <w:r>
        <w:rPr>
          <w:b/>
        </w:rPr>
        <w:t>Session logging acknowledgement.</w:t>
      </w:r>
      <w:r>
        <w:t xml:space="preserve"> *"You acknowledge that every request made from your session is logged to an internal audit trail (URL, HTTP method, response status, IP address, user-agent, and timestamp). This log is visible to Foundation administrators; you are not permitted to view or modify it from your own session."*</w:t>
      </w:r>
    </w:p>
    <w:p>
      <w:pPr>
        <w:pStyle w:val="ListBullet"/>
      </w:pPr>
      <w:r>
        <w:rPr>
          <w:b/>
        </w:rPr>
        <w:t>No modification of platform data.</w:t>
      </w:r>
      <w:r>
        <w:t xml:space="preserve"> All modification attempts (POST/PUT/PATCH/DELETE) are automatically rejected by server-side middleware; counsel represents they will not attempt to circumvent this control.</w:t>
      </w:r>
    </w:p>
    <w:p>
      <w:pPr>
        <w:pStyle w:val="ListBullet"/>
      </w:pPr>
      <w:r>
        <w:rPr>
          <w:b/>
        </w:rPr>
        <w:t>Confidentiality.</w:t>
      </w:r>
      <w:r>
        <w:t xml:space="preserve"> Counsel treats all data observed on the platform as confidential and privileged and will not extract, screenshot, or share any member, partner, or transaction data without prior written consent from the Foundation, except as required by applicable rules of professional conduct.</w:t>
      </w:r>
    </w:p>
    <w:p>
      <w:pPr>
        <w:pStyle w:val="ListBullet"/>
      </w:pPr>
      <w:r>
        <w:rPr>
          <w:b/>
        </w:rPr>
        <w:t>Termination and credential rotation.</w:t>
      </w:r>
      <w:r>
        <w:t xml:space="preserve"> Access terminates at the conclusion of the engagement; the Foundation will rotate or archive the counsel credential at that time.</w:t>
      </w:r>
    </w:p>
    <w:p>
      <w:pPr>
        <w:pStyle w:val="ListBullet"/>
      </w:pPr>
      <w:r>
        <w:rPr>
          <w:b/>
        </w:rPr>
        <w:t>Non-privileged nature of the audit log.</w:t>
      </w:r>
      <w:r>
        <w:t xml:space="preserve"> The audit log is a business record, not privileged work product; the Foundation may produce it if compelled in litigation or by regulator.</w:t>
      </w:r>
    </w:p>
    <w:p>
      <w:pPr>
        <w:pStyle w:val="Heading2"/>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pPr>
      <w:r>
        <w:t>6. Intellectual Property Landscape</w:t>
      </w:r>
    </w:p>
    <w:p>
      <w:pPr>
        <w:pStyle w:val="Heading3"/>
      </w:pPr>
      <w:r>
        <w:t>6.1 Brand — logos, wordmark, and marks in active use</w:t>
      </w:r>
    </w:p>
    <w:p>
      <w:r>
        <w:t>#### Logos (visual marks)</w:t>
      </w:r>
    </w:p>
    <w:p>
      <w:pPr>
        <w:pStyle w:val="ListBullet"/>
      </w:pPr>
      <w:r>
        <w:rPr>
          <w:b/>
        </w:rPr>
        <w:t>Primary composite mark:</w:t>
      </w:r>
      <w:r>
        <w:t xml:space="preserve"> birthright wordmark with the interlocking ember-and-teal flame device and the tagline lockup "SECURE BONDS &gt; THRIVE." Embedded below (also stored at </w:t>
      </w:r>
      <w:r>
        <w:rPr>
          <w:rFonts w:ascii="Consolas" w:hAnsi="Consolas"/>
          <w:sz w:val="20"/>
        </w:rPr>
        <w:t>/app/backend/legal_docs/brand_assets/logo_composite.jpeg</w:t>
      </w:r>
      <w:r>
        <w:t>).</w:t>
      </w:r>
    </w:p>
    <w:p>
      <w:pPr>
        <w:pStyle w:val="ListBullet"/>
      </w:pPr>
      <w:r>
        <w:rPr>
          <w:b/>
        </w:rPr>
        <w:t>Mission-statement flame lockup:</w:t>
      </w:r>
      <w:r>
        <w:t xml:space="preserve"> the gold flame icon paired with the italic mission-statement typography ("Secure bonds are our birthright."). Embedded below (also stored at </w:t>
      </w:r>
      <w:r>
        <w:rPr>
          <w:rFonts w:ascii="Consolas" w:hAnsi="Consolas"/>
          <w:sz w:val="20"/>
        </w:rPr>
        <w:t>/app/backend/legal_docs/brand_assets/mission_statement.jpeg</w:t>
      </w:r>
      <w:r>
        <w:t>).</w:t>
      </w:r>
    </w:p>
    <w:p>
      <w:r>
        <w:t>*(Both images are embedded in this document under §6.1a below and are considered the current canonical visual identity as of the date of this briefing.)*</w:t>
      </w:r>
    </w:p>
    <w:p>
      <w:r>
        <w:t>#### Wordmark / textual marks</w:t>
      </w:r>
    </w:p>
    <w:p>
      <w:pPr>
        <w:pStyle w:val="ListBullet"/>
      </w:pPr>
      <w:r>
        <w:rPr>
          <w:b/>
        </w:rPr>
        <w:t>birthright</w:t>
      </w:r>
      <w:r>
        <w:t xml:space="preserve"> (lowercase wordmark, primary)</w:t>
      </w:r>
    </w:p>
    <w:p>
      <w:pPr>
        <w:pStyle w:val="ListBullet"/>
      </w:pPr>
      <w:r>
        <w:rPr>
          <w:b/>
        </w:rPr>
        <w:t>birthright.live</w:t>
      </w:r>
      <w:r>
        <w:t xml:space="preserve"> (domain-mark)</w:t>
      </w:r>
    </w:p>
    <w:p>
      <w:pPr>
        <w:pStyle w:val="ListBullet"/>
      </w:pPr>
      <w:r>
        <w:rPr>
          <w:b/>
        </w:rPr>
        <w:t>birthright Foundation</w:t>
      </w:r>
      <w:r>
        <w:t xml:space="preserve"> (organizational mark, pending entity formation)</w:t>
      </w:r>
    </w:p>
    <w:p>
      <w:r>
        <w:t>#### Taglines and marks in active public use across birthright.live</w:t>
      </w:r>
    </w:p>
    <w:p>
      <w:r>
        <w:t>The following short-form marks appear on public pages of birthright.live (URLs listed for counsel to verify context). Each is in use in commerce and is a candidate for trademark protection under the Trademark Filings Plan (draft §8b, item 17).</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Mark / tagline</w:t>
            </w:r>
          </w:p>
        </w:tc>
        <w:tc>
          <w:tcPr>
            <w:tcW w:type="dxa" w:w="2412"/>
          </w:tcPr>
          <w:p>
            <w:r>
              <w:rPr>
                <w:b/>
              </w:rPr>
            </w:r>
            <w:r>
              <w:rPr>
                <w:b/>
              </w:rPr>
              <w:t>Where it appears</w:t>
            </w:r>
          </w:p>
        </w:tc>
        <w:tc>
          <w:tcPr>
            <w:tcW w:type="dxa" w:w="2412"/>
          </w:tcPr>
          <w:p>
            <w:r>
              <w:rPr>
                <w:b/>
              </w:rPr>
            </w:r>
            <w:r>
              <w:rPr>
                <w:b/>
              </w:rPr>
              <w:t>Nature of use</w:t>
            </w:r>
          </w:p>
        </w:tc>
      </w:tr>
      <w:tr>
        <w:tc>
          <w:tcPr>
            <w:tcW w:type="dxa" w:w="2412"/>
          </w:tcPr>
          <w:p>
            <w:r/>
            <w:r>
              <w:t>1</w:t>
            </w:r>
          </w:p>
        </w:tc>
        <w:tc>
          <w:tcPr>
            <w:tcW w:type="dxa" w:w="2412"/>
          </w:tcPr>
          <w:p>
            <w:r/>
            <w:r>
              <w:rPr>
                <w:b/>
              </w:rPr>
              <w:t>"Secure bonds are your birthright."</w:t>
            </w:r>
          </w:p>
        </w:tc>
        <w:tc>
          <w:tcPr>
            <w:tcW w:type="dxa" w:w="2412"/>
          </w:tcPr>
          <w:p>
            <w:r/>
            <w:r>
              <w:t>Homepage hero and marketing rotations</w:t>
            </w:r>
          </w:p>
        </w:tc>
        <w:tc>
          <w:tcPr>
            <w:tcW w:type="dxa" w:w="2412"/>
          </w:tcPr>
          <w:p>
            <w:r/>
            <w:r>
              <w:t>Consumer-facing brand promise (second-person)</w:t>
            </w:r>
          </w:p>
        </w:tc>
      </w:tr>
      <w:tr>
        <w:tc>
          <w:tcPr>
            <w:tcW w:type="dxa" w:w="2412"/>
          </w:tcPr>
          <w:p>
            <w:r/>
            <w:r>
              <w:t>2</w:t>
            </w:r>
          </w:p>
        </w:tc>
        <w:tc>
          <w:tcPr>
            <w:tcW w:type="dxa" w:w="2412"/>
          </w:tcPr>
          <w:p>
            <w:r/>
            <w:r>
              <w:rPr>
                <w:b/>
              </w:rPr>
              <w:t>"We are the practice ground."</w:t>
            </w:r>
          </w:p>
        </w:tc>
        <w:tc>
          <w:tcPr>
            <w:tcW w:type="dxa" w:w="2412"/>
          </w:tcPr>
          <w:p>
            <w:r/>
            <w:r>
              <w:t>Practice page hero; about-us section</w:t>
            </w:r>
          </w:p>
        </w:tc>
        <w:tc>
          <w:tcPr>
            <w:tcW w:type="dxa" w:w="2412"/>
          </w:tcPr>
          <w:p>
            <w:r/>
            <w:r>
              <w:t>Positioning line for the platform's core offering</w:t>
            </w:r>
          </w:p>
        </w:tc>
      </w:tr>
      <w:tr>
        <w:tc>
          <w:tcPr>
            <w:tcW w:type="dxa" w:w="2412"/>
          </w:tcPr>
          <w:p>
            <w:r/>
            <w:r>
              <w:t>3</w:t>
            </w:r>
          </w:p>
        </w:tc>
        <w:tc>
          <w:tcPr>
            <w:tcW w:type="dxa" w:w="2412"/>
          </w:tcPr>
          <w:p>
            <w:r/>
            <w:r>
              <w:rPr>
                <w:b/>
              </w:rPr>
              <w:t>"A practice that grows with you"</w:t>
            </w:r>
          </w:p>
        </w:tc>
        <w:tc>
          <w:tcPr>
            <w:tcW w:type="dxa" w:w="2412"/>
          </w:tcPr>
          <w:p>
            <w:r/>
            <w:r>
              <w:t>Practice page sub-hero; membership pages</w:t>
            </w:r>
          </w:p>
        </w:tc>
        <w:tc>
          <w:tcPr>
            <w:tcW w:type="dxa" w:w="2412"/>
          </w:tcPr>
          <w:p>
            <w:r/>
            <w:r>
              <w:t>Descriptor for the recurring/subscription nature of the work</w:t>
            </w:r>
          </w:p>
        </w:tc>
      </w:tr>
      <w:tr>
        <w:tc>
          <w:tcPr>
            <w:tcW w:type="dxa" w:w="2412"/>
          </w:tcPr>
          <w:p>
            <w:r/>
            <w:r>
              <w:t>4</w:t>
            </w:r>
          </w:p>
        </w:tc>
        <w:tc>
          <w:tcPr>
            <w:tcW w:type="dxa" w:w="2412"/>
          </w:tcPr>
          <w:p>
            <w:r/>
            <w:r>
              <w:rPr>
                <w:b/>
              </w:rPr>
              <w:t>"Born for connection"</w:t>
            </w:r>
          </w:p>
        </w:tc>
        <w:tc>
          <w:tcPr>
            <w:tcW w:type="dxa" w:w="2412"/>
          </w:tcPr>
          <w:p>
            <w:r/>
            <w:r>
              <w:t>Homepage; about section; brand imagery</w:t>
            </w:r>
          </w:p>
        </w:tc>
        <w:tc>
          <w:tcPr>
            <w:tcW w:type="dxa" w:w="2412"/>
          </w:tcPr>
          <w:p>
            <w:r/>
            <w:r>
              <w:t>Origin-story tagline</w:t>
            </w:r>
          </w:p>
        </w:tc>
      </w:tr>
      <w:tr>
        <w:tc>
          <w:tcPr>
            <w:tcW w:type="dxa" w:w="2412"/>
          </w:tcPr>
          <w:p>
            <w:r/>
            <w:r>
              <w:t>5</w:t>
            </w:r>
          </w:p>
        </w:tc>
        <w:tc>
          <w:tcPr>
            <w:tcW w:type="dxa" w:w="2412"/>
          </w:tcPr>
          <w:p>
            <w:r/>
            <w:r>
              <w:rPr>
                <w:b/>
              </w:rPr>
              <w:t>"Secure bonds are our birthright."</w:t>
            </w:r>
          </w:p>
        </w:tc>
        <w:tc>
          <w:tcPr>
            <w:tcW w:type="dxa" w:w="2412"/>
          </w:tcPr>
          <w:p>
            <w:r/>
            <w:r>
              <w:t>Mission statement page; about page</w:t>
            </w:r>
          </w:p>
        </w:tc>
        <w:tc>
          <w:tcPr>
            <w:tcW w:type="dxa" w:w="2412"/>
          </w:tcPr>
          <w:p>
            <w:r/>
            <w:r>
              <w:t>Corporate mission statement (first-person plural)</w:t>
            </w:r>
          </w:p>
        </w:tc>
      </w:tr>
      <w:tr>
        <w:tc>
          <w:tcPr>
            <w:tcW w:type="dxa" w:w="2412"/>
          </w:tcPr>
          <w:p>
            <w:r/>
            <w:r>
              <w:t>6</w:t>
            </w:r>
          </w:p>
        </w:tc>
        <w:tc>
          <w:tcPr>
            <w:tcW w:type="dxa" w:w="2412"/>
          </w:tcPr>
          <w:p>
            <w:r/>
            <w:r>
              <w:rPr>
                <w:b/>
              </w:rPr>
              <w:t>"A practice, not a curriculum"</w:t>
            </w:r>
          </w:p>
        </w:tc>
        <w:tc>
          <w:tcPr>
            <w:tcW w:type="dxa" w:w="2412"/>
          </w:tcPr>
          <w:p>
            <w:r/>
            <w:r>
              <w:t>Practice page; how-it-works section</w:t>
            </w:r>
          </w:p>
        </w:tc>
        <w:tc>
          <w:tcPr>
            <w:tcW w:type="dxa" w:w="2412"/>
          </w:tcPr>
          <w:p>
            <w:r/>
            <w:r>
              <w:t>Positioning — differentiates from typical program/course model</w:t>
            </w:r>
          </w:p>
        </w:tc>
      </w:tr>
      <w:tr>
        <w:tc>
          <w:tcPr>
            <w:tcW w:type="dxa" w:w="2412"/>
          </w:tcPr>
          <w:p>
            <w:r/>
            <w:r>
              <w:t>7</w:t>
            </w:r>
          </w:p>
        </w:tc>
        <w:tc>
          <w:tcPr>
            <w:tcW w:type="dxa" w:w="2412"/>
          </w:tcPr>
          <w:p>
            <w:r/>
            <w:r>
              <w:rPr>
                <w:b/>
              </w:rPr>
              <w:t>"Made to live with the work"</w:t>
            </w:r>
          </w:p>
        </w:tc>
        <w:tc>
          <w:tcPr>
            <w:tcW w:type="dxa" w:w="2412"/>
          </w:tcPr>
          <w:p>
            <w:r/>
            <w:r>
              <w:t>Shop / Founder Collection page; product marketing</w:t>
            </w:r>
          </w:p>
        </w:tc>
        <w:tc>
          <w:tcPr>
            <w:tcW w:type="dxa" w:w="2412"/>
          </w:tcPr>
          <w:p>
            <w:r/>
            <w:r>
              <w:t>Product-line tagline for merchandise and everyday-carry goods</w:t>
            </w:r>
          </w:p>
        </w:tc>
      </w:tr>
      <w:tr>
        <w:tc>
          <w:tcPr>
            <w:tcW w:type="dxa" w:w="2412"/>
          </w:tcPr>
          <w:p>
            <w:r/>
            <w:r>
              <w:t>8</w:t>
            </w:r>
          </w:p>
        </w:tc>
        <w:tc>
          <w:tcPr>
            <w:tcW w:type="dxa" w:w="2412"/>
          </w:tcPr>
          <w:p>
            <w:r/>
            <w:r>
              <w:rPr>
                <w:b/>
              </w:rPr>
              <w:t>"Artists in the room"</w:t>
            </w:r>
          </w:p>
        </w:tc>
        <w:tc>
          <w:tcPr>
            <w:tcW w:type="dxa" w:w="2412"/>
          </w:tcPr>
          <w:p>
            <w:r/>
            <w:r>
              <w:t>Gallery page; artist partner pages</w:t>
            </w:r>
          </w:p>
        </w:tc>
        <w:tc>
          <w:tcPr>
            <w:tcW w:type="dxa" w:w="2412"/>
          </w:tcPr>
          <w:p>
            <w:r/>
            <w:r>
              <w:t>Positioning for the artist-partner program</w:t>
            </w:r>
          </w:p>
        </w:tc>
      </w:tr>
      <w:tr>
        <w:tc>
          <w:tcPr>
            <w:tcW w:type="dxa" w:w="2412"/>
          </w:tcPr>
          <w:p>
            <w:r/>
            <w:r>
              <w:t>9</w:t>
            </w:r>
          </w:p>
        </w:tc>
        <w:tc>
          <w:tcPr>
            <w:tcW w:type="dxa" w:w="2412"/>
          </w:tcPr>
          <w:p>
            <w:r/>
            <w:r>
              <w:rPr>
                <w:b/>
              </w:rPr>
              <w:t>"Help someone claim their birthright."</w:t>
            </w:r>
          </w:p>
        </w:tc>
        <w:tc>
          <w:tcPr>
            <w:tcW w:type="dxa" w:w="2412"/>
          </w:tcPr>
          <w:p>
            <w:r/>
            <w:r>
              <w:t>Sponsorship page; general sponsorship call-to-action</w:t>
            </w:r>
          </w:p>
        </w:tc>
        <w:tc>
          <w:tcPr>
            <w:tcW w:type="dxa" w:w="2412"/>
          </w:tcPr>
          <w:p>
            <w:r/>
            <w:r>
              <w:t>Fundraising / sponsorship marketing line</w:t>
            </w:r>
          </w:p>
        </w:tc>
      </w:tr>
      <w:tr>
        <w:tc>
          <w:tcPr>
            <w:tcW w:type="dxa" w:w="2412"/>
          </w:tcPr>
          <w:p>
            <w:r/>
            <w:r>
              <w:t>10</w:t>
            </w:r>
          </w:p>
        </w:tc>
        <w:tc>
          <w:tcPr>
            <w:tcW w:type="dxa" w:w="2412"/>
          </w:tcPr>
          <w:p>
            <w:r/>
            <w:r>
              <w:rPr>
                <w:b/>
              </w:rPr>
              <w:t>"The people behind the work."</w:t>
            </w:r>
          </w:p>
        </w:tc>
        <w:tc>
          <w:tcPr>
            <w:tcW w:type="dxa" w:w="2412"/>
          </w:tcPr>
          <w:p>
            <w:r/>
            <w:r>
              <w:t>Board / team page; leadership section</w:t>
            </w:r>
          </w:p>
        </w:tc>
        <w:tc>
          <w:tcPr>
            <w:tcW w:type="dxa" w:w="2412"/>
          </w:tcPr>
          <w:p>
            <w:r/>
            <w:r>
              <w:t>Governance / people-page heading</w:t>
            </w:r>
          </w:p>
        </w:tc>
      </w:tr>
      <w:tr>
        <w:tc>
          <w:tcPr>
            <w:tcW w:type="dxa" w:w="2412"/>
          </w:tcPr>
          <w:p>
            <w:r/>
            <w:r>
              <w:t>11</w:t>
            </w:r>
          </w:p>
        </w:tc>
        <w:tc>
          <w:tcPr>
            <w:tcW w:type="dxa" w:w="2412"/>
          </w:tcPr>
          <w:p>
            <w:r/>
            <w:r>
              <w:rPr>
                <w:b/>
              </w:rPr>
              <w:t>"Help us build the foundation."</w:t>
            </w:r>
          </w:p>
        </w:tc>
        <w:tc>
          <w:tcPr>
            <w:tcW w:type="dxa" w:w="2412"/>
          </w:tcPr>
          <w:p>
            <w:r/>
            <w:r>
              <w:t>Foundation sponsorship pages; capital-fundraising calls-to-action</w:t>
            </w:r>
          </w:p>
        </w:tc>
        <w:tc>
          <w:tcPr>
            <w:tcW w:type="dxa" w:w="2412"/>
          </w:tcPr>
          <w:p>
            <w:r/>
            <w:r>
              <w:t>Founding-supporter and capital-campaign marketing line</w:t>
            </w:r>
          </w:p>
        </w:tc>
      </w:tr>
      <w:tr>
        <w:tc>
          <w:tcPr>
            <w:tcW w:type="dxa" w:w="2412"/>
          </w:tcPr>
          <w:p>
            <w:r/>
            <w:r>
              <w:t>12</w:t>
            </w:r>
          </w:p>
        </w:tc>
        <w:tc>
          <w:tcPr>
            <w:tcW w:type="dxa" w:w="2412"/>
          </w:tcPr>
          <w:p>
            <w:r/>
            <w:r>
              <w:rPr>
                <w:b/>
              </w:rPr>
              <w:t>"Communities of practice"</w:t>
            </w:r>
          </w:p>
        </w:tc>
        <w:tc>
          <w:tcPr>
            <w:tcW w:type="dxa" w:w="2412"/>
          </w:tcPr>
          <w:p>
            <w:r/>
            <w:r>
              <w:t>Gather / community page; local-node pages</w:t>
            </w:r>
          </w:p>
        </w:tc>
        <w:tc>
          <w:tcPr>
            <w:tcW w:type="dxa" w:w="2412"/>
          </w:tcPr>
          <w:p>
            <w:r/>
            <w:r>
              <w:t>Positioning for the community-partner and local-node offering</w:t>
            </w:r>
          </w:p>
        </w:tc>
      </w:tr>
    </w:tbl>
    <w:p/>
    <w:p>
      <w:r>
        <w:t>#### Prior single-line marks (retained from earlier brief; still in use)</w:t>
      </w:r>
    </w:p>
    <w:p>
      <w:pPr>
        <w:pStyle w:val="ListBullet"/>
      </w:pPr>
      <w:r>
        <w:rPr>
          <w:b/>
        </w:rPr>
        <w:t>"You are the founder of your own love story"</w:t>
      </w:r>
      <w:r>
        <w:t xml:space="preserve"> — legacy tagline; verify current usage before filing</w:t>
      </w:r>
    </w:p>
    <w:p>
      <w:pPr>
        <w:pStyle w:val="ListBullet"/>
      </w:pPr>
      <w:r>
        <w:rPr>
          <w:b/>
        </w:rPr>
        <w:t>"Secure connection is your birthright"</w:t>
      </w:r>
      <w:r>
        <w:t xml:space="preserve"> — precursor to Mark #1 above; verify overlap</w:t>
      </w:r>
    </w:p>
    <w:p>
      <w:pPr>
        <w:pStyle w:val="ListBullet"/>
      </w:pPr>
      <w:r>
        <w:rPr>
          <w:b/>
        </w:rPr>
        <w:t>"The bond is the cure"</w:t>
      </w:r>
      <w:r>
        <w:t xml:space="preserve"> — motto used in practice-page copy</w:t>
      </w:r>
    </w:p>
    <w:p>
      <w:pPr>
        <w:pStyle w:val="ListBullet"/>
      </w:pPr>
      <w:r>
        <w:rPr>
          <w:b/>
        </w:rPr>
        <w:t>"Repair is older than rupture"</w:t>
      </w:r>
      <w:r>
        <w:t xml:space="preserve"> — motto used on practice-page copy</w:t>
      </w:r>
    </w:p>
    <w:p>
      <w:pPr>
        <w:pStyle w:val="ListBullet"/>
      </w:pPr>
      <w:r>
        <w:rPr>
          <w:b/>
        </w:rPr>
        <w:t>"We are created for connection"</w:t>
      </w:r>
      <w:r>
        <w:t xml:space="preserve"> — precursor to Mark #4 above; verify overlap</w:t>
      </w:r>
    </w:p>
    <w:p>
      <w:r>
        <w:t>#### Legal status of the above</w:t>
      </w:r>
    </w:p>
    <w:p>
      <w:pPr>
        <w:pStyle w:val="ListBullet"/>
      </w:pPr>
      <w:r>
        <w:rPr>
          <w:b/>
        </w:rPr>
        <w:t>No trademark filings yet.</w:t>
      </w:r>
      <w:r>
        <w:t xml:space="preserve"> All marks above are used in commerce but unregistered.</w:t>
      </w:r>
    </w:p>
    <w:p>
      <w:pPr>
        <w:pStyle w:val="ListBullet"/>
      </w:pPr>
      <w:r>
        <w:rPr>
          <w:b/>
        </w:rPr>
        <w:t>Recommended filings</w:t>
      </w:r>
      <w:r>
        <w:t xml:space="preserve"> (see also draft §8b, item 17 — Trademark Filings Plan):</w:t>
      </w:r>
    </w:p>
    <w:p>
      <w:pPr>
        <w:pStyle w:val="ListBullet"/>
      </w:pPr>
      <w:r>
        <w:t>USPTO Class 41 (education services — workshops, community of practice)</w:t>
      </w:r>
    </w:p>
    <w:p>
      <w:pPr>
        <w:pStyle w:val="ListBullet"/>
      </w:pPr>
      <w:r>
        <w:t>USPTO Class 45 (social services — attachment / connection support)</w:t>
      </w:r>
    </w:p>
    <w:p>
      <w:pPr>
        <w:pStyle w:val="ListBullet"/>
      </w:pPr>
      <w:r>
        <w:t>USPTO Class 25 (apparel — Founder Collection merchandise)</w:t>
      </w:r>
    </w:p>
    <w:p>
      <w:pPr>
        <w:pStyle w:val="ListBullet"/>
      </w:pPr>
      <w:r>
        <w:t>USPTO Class 09 (downloadable software, digital media) — pending platform strategy</w:t>
      </w:r>
    </w:p>
    <w:p>
      <w:pPr>
        <w:pStyle w:val="ListBullet"/>
      </w:pPr>
      <w:r>
        <w:rPr>
          <w:b/>
        </w:rPr>
        <w:t>Priority for filing:</w:t>
      </w:r>
      <w:r>
        <w:t xml:space="preserve"> Marks 1, 2, 5, 6, 8 have the strongest source-identifier character and are most exposed to third-party adoption. Marks 3, 4, 7, 9, 10, 11, 12 are descriptive-suggestive and should be evaluated for distinctiveness with counsel.</w:t>
      </w:r>
    </w:p>
    <w:p>
      <w:pPr>
        <w:pStyle w:val="ListBullet"/>
      </w:pPr>
      <w:r>
        <w:rPr>
          <w:b/>
        </w:rPr>
        <w:t>Composite logo mark</w:t>
      </w:r>
      <w:r>
        <w:t xml:space="preserve"> (birthright wordmark + flame device) should be filed as a single composite mark in Classes 41 and 45.</w:t>
      </w:r>
    </w:p>
    <w:p>
      <w:pPr>
        <w:pStyle w:val="ListBullet"/>
      </w:pPr>
      <w:r>
        <w:rPr>
          <w:b/>
        </w:rPr>
        <w:t>International (Madrid Protocol)</w:t>
      </w:r>
      <w:r>
        <w:t xml:space="preserve"> filing to be considered after United States registration, given EU customer base already visible in traffic.</w:t>
      </w:r>
    </w:p>
    <w:p>
      <w:pPr>
        <w:pStyle w:val="Heading3"/>
      </w:pPr>
      <w:r>
        <w:t>6.1a Embedded brand assets</w:t>
      </w:r>
    </w:p>
    <w:p>
      <w:r>
        <w:t>*The two images below are the canonical current visual identity as of the date of this briefing. Counsel may reproduce them for filing-preparation purposes.*</w:t>
      </w:r>
    </w:p>
    <w:p>
      <w:r>
        <w:rPr>
          <w:b/>
        </w:rPr>
        <w:t>Figure 1 — Primary composite mark (wordmark + flame device + "SECURE BONDS &gt; THRIVE" tagline lockup):</w:t>
      </w:r>
    </w:p>
    <w:p>
      <w:r>
        <w:t>![Primary composite mark — birthright wordmark, flame device, and SECURE BONDS &gt; THRIVE tagline lockup](brand_assets/logo_composite.jpeg)</w:t>
      </w:r>
    </w:p>
    <w:p>
      <w:r>
        <w:rPr>
          <w:b/>
        </w:rPr>
        <w:t>Figure 2 — Mission-statement flame lockup ("Secure bonds are our birthright."):</w:t>
      </w:r>
    </w:p>
    <w:p>
      <w:r>
        <w:t>![Mission statement lockup — gold flame icon and "Secure bonds are our birthright." italic typography](brand_assets/mission_statement.jpeg)</w:t>
      </w:r>
    </w:p>
    <w:p>
      <w:pPr>
        <w:pStyle w:val="Heading3"/>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60">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pPr>
      <w:r>
        <w:t>6.3 AI-generated content stored on the platform</w:t>
      </w:r>
    </w:p>
    <w:p>
      <w:pPr>
        <w:pStyle w:val="ListBullet"/>
      </w:pPr>
      <w:r>
        <w:rPr>
          <w:b/>
        </w:rPr>
        <w:t>Hero and additional product images</w:t>
      </w:r>
      <w:r>
        <w:t xml:space="preserve"> generated by Gemini Nano Banana (~55 images published so far). Stored under </w:t>
      </w:r>
      <w:hyperlink r:id="rId61">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pPr>
      <w:r>
        <w:t>8. Existing Agreements &amp; Legal Copy in the App</w:t>
      </w:r>
    </w:p>
    <w:p>
      <w:pPr>
        <w:pStyle w:val="Heading3"/>
      </w:pPr>
      <w:r>
        <w:t>8.1 Indemnification Agreement (placeholder)</w:t>
      </w:r>
    </w:p>
    <w:p>
      <w:pPr>
        <w:pStyle w:val="ListBullet"/>
      </w:pPr>
      <w:r>
        <w:t xml:space="preserve">Path: </w:t>
      </w:r>
      <w:hyperlink r:id="rId29">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62">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pPr>
      <w:r>
        <w:t>8.2 Foundation-role Agreements</w:t>
      </w:r>
    </w:p>
    <w:p>
      <w:pPr>
        <w:pStyle w:val="ListBullet"/>
      </w:pPr>
      <w:r>
        <w:t xml:space="preserve">Path: </w:t>
      </w:r>
      <w:hyperlink r:id="rId63">
        <w:r>
          <w:rPr>
            <w:color w:val="0563C1"/>
            <w:u w:val="single"/>
          </w:rPr>
          <w:t xml:space="preserve">/admin/foundation-roles</w:t>
        </w:r>
      </w:hyperlink>
      <w:r>
        <w:t xml:space="preserve">, </w:t>
      </w:r>
      <w:hyperlink r:id="rId23">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pPr>
      <w:r>
        <w:t>8.3 Partner / Facilitator / Vendor onboarding</w:t>
      </w:r>
    </w:p>
    <w:p>
      <w:pPr>
        <w:pStyle w:val="ListBullet"/>
      </w:pPr>
      <w:r>
        <w:t xml:space="preserve">Frontend flows exist at </w:t>
      </w:r>
      <w:hyperlink r:id="rId30">
        <w:r>
          <w:rPr>
            <w:color w:val="0563C1"/>
            <w:u w:val="single"/>
          </w:rPr>
          <w:t xml:space="preserve">/partner/apply</w:t>
        </w:r>
      </w:hyperlink>
      <w:r>
        <w:t xml:space="preserve">, </w:t>
      </w:r>
      <w:hyperlink r:id="rId64">
        <w:r>
          <w:rPr>
            <w:color w:val="0563C1"/>
            <w:u w:val="single"/>
          </w:rPr>
          <w:t xml:space="preserve">/dashboard/partner</w:t>
        </w:r>
      </w:hyperlink>
      <w:r>
        <w:t xml:space="preserve">, </w:t>
      </w:r>
      <w:hyperlink r:id="rId31">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pPr>
      <w:r>
        <w:t>8.5 Disputes &amp; Ombudsman</w:t>
      </w:r>
    </w:p>
    <w:p>
      <w:pPr>
        <w:pStyle w:val="ListBullet"/>
      </w:pPr>
      <w:r>
        <w:t xml:space="preserve">Path: </w:t>
      </w:r>
      <w:hyperlink r:id="rId65">
        <w:r>
          <w:rPr>
            <w:color w:val="0563C1"/>
            <w:u w:val="single"/>
          </w:rPr>
          <w:t xml:space="preserve">/dashboard/disputes</w:t>
        </w:r>
      </w:hyperlink>
      <w:r>
        <w:t xml:space="preserve">, </w:t>
      </w:r>
      <w:hyperlink r:id="rId32">
        <w:r>
          <w:rPr>
            <w:color w:val="0563C1"/>
            <w:u w:val="single"/>
          </w:rPr>
          <w:t xml:space="preserve">/admin/ombudsman</w:t>
        </w:r>
      </w:hyperlink>
      <w:r>
        <w:t xml:space="preserve">, </w:t>
      </w:r>
      <w:hyperlink r:id="rId66">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pPr>
      <w:r>
        <w:t>8.6 Refund handling</w:t>
      </w:r>
    </w:p>
    <w:p>
      <w:pPr>
        <w:pStyle w:val="ListBullet"/>
      </w:pPr>
      <w:r>
        <w:t xml:space="preserve">Backend: </w:t>
      </w:r>
      <w:r>
        <w:rPr>
          <w:rFonts w:ascii="Consolas" w:hAnsi="Consolas"/>
          <w:sz w:val="20"/>
        </w:rPr>
        <w:t>routers/refunds.py</w:t>
      </w:r>
      <w:r>
        <w:t xml:space="preserve">, admin at </w:t>
      </w:r>
      <w:hyperlink r:id="rId67">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pPr>
      <w:r>
        <w:t>8.7 Community conduct</w:t>
      </w:r>
    </w:p>
    <w:p>
      <w:pPr>
        <w:pStyle w:val="ListBullet"/>
      </w:pPr>
      <w:r>
        <w:t xml:space="preserve">Community features live at </w:t>
      </w:r>
      <w:hyperlink r:id="rId11">
        <w:r>
          <w:rPr>
            <w:color w:val="0563C1"/>
            <w:u w:val="single"/>
          </w:rPr>
          <w:t xml:space="preserve">/gather</w:t>
        </w:r>
      </w:hyperlink>
      <w:r>
        <w:t xml:space="preserve">, </w:t>
      </w:r>
      <w:hyperlink r:id="rId68">
        <w:r>
          <w:rPr>
            <w:color w:val="0563C1"/>
            <w:u w:val="single"/>
          </w:rPr>
          <w:t xml:space="preserve">/dashboard/messages</w:t>
        </w:r>
      </w:hyperlink>
      <w:r>
        <w:t xml:space="preserve">, </w:t>
      </w:r>
      <w:hyperlink r:id="rId69">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r>
        <w:rPr>
          <w:b/>
        </w:rPr>
        <w:t>Terms of Service</w:t>
      </w:r>
      <w:r>
        <w:t xml:space="preserve"> (with mandatory-arbitration and class-waiver clauses if desired)</w:t>
      </w:r>
    </w:p>
    <w:p>
      <w:pPr>
        <w:pStyle w:val="ListNumber"/>
      </w:pPr>
      <w:r>
        <w:rPr>
          <w:b/>
        </w:rPr>
        <w:t>Privacy Policy</w:t>
      </w:r>
      <w:r>
        <w:t xml:space="preserve"> (with sub-processor list, retention schedule, data subject access request (DSAR) workflow)</w:t>
      </w:r>
    </w:p>
    <w:p>
      <w:pPr>
        <w:pStyle w:val="ListNumber"/>
      </w:pPr>
      <w:r>
        <w:rPr>
          <w:b/>
        </w:rPr>
        <w:t>Cookie / Tracking Notice</w:t>
      </w:r>
      <w:r>
        <w:t xml:space="preserve"> (currently: no banner, minimal cookies used)</w:t>
      </w:r>
    </w:p>
    <w:p>
      <w:pPr>
        <w:pStyle w:val="ListNumber"/>
      </w:pPr>
      <w:r>
        <w:rPr>
          <w:b/>
        </w:rPr>
        <w:t>Universal Indemnification &amp; Hold-Harmless</w:t>
      </w:r>
      <w:r>
        <w:t xml:space="preserve"> — real text to replace placeholder at </w:t>
      </w:r>
      <w:hyperlink r:id="rId29">
        <w:r>
          <w:rPr>
            <w:color w:val="0563C1"/>
            <w:u w:val="single"/>
          </w:rPr>
          <w:t xml:space="preserve">/legal/indemnification</w:t>
        </w:r>
      </w:hyperlink>
    </w:p>
    <w:p>
      <w:pPr>
        <w:pStyle w:val="ListNumber"/>
      </w:pPr>
      <w:r>
        <w:rPr>
          <w:b/>
        </w:rPr>
        <w:t>Facilitator Services Agreement + IP Assignment</w:t>
      </w:r>
    </w:p>
    <w:p>
      <w:pPr>
        <w:pStyle w:val="ListNumber"/>
      </w:pPr>
      <w:r>
        <w:rPr>
          <w:b/>
        </w:rPr>
        <w:t>Artist Consignment / Gallery Partner Agreement</w:t>
      </w:r>
    </w:p>
    <w:p>
      <w:pPr>
        <w:pStyle w:val="ListNumber"/>
      </w:pPr>
      <w:r>
        <w:rPr>
          <w:b/>
        </w:rPr>
        <w:t>Vendor Supplier / Dropship Agreement</w:t>
      </w:r>
      <w:r>
        <w:t xml:space="preserve"> (specifically for 7C's Farmstead first)</w:t>
      </w:r>
    </w:p>
    <w:p>
      <w:pPr>
        <w:pStyle w:val="ListNumber"/>
      </w:pPr>
      <w:r>
        <w:rPr>
          <w:b/>
        </w:rPr>
        <w:t>Community Partner Referral Agreement</w:t>
      </w:r>
      <w:r>
        <w:t xml:space="preserve"> (with W-9/1099 language)</w:t>
      </w:r>
    </w:p>
    <w:p>
      <w:pPr>
        <w:pStyle w:val="ListNumber"/>
      </w:pPr>
      <w:r>
        <w:rPr>
          <w:b/>
        </w:rPr>
        <w:t>Sponsorship Agreement / Sponsor Recognition Consent</w:t>
      </w:r>
    </w:p>
    <w:p>
      <w:pPr>
        <w:pStyle w:val="ListNumber"/>
      </w:pPr>
      <w:r>
        <w:rPr>
          <w:b/>
        </w:rPr>
        <w:t>Sliding-Scale &amp; Scholarship Terms</w:t>
      </w:r>
      <w:r>
        <w:t xml:space="preserve"> (for workshop tiered pricing)</w:t>
      </w:r>
    </w:p>
    <w:p>
      <w:pPr>
        <w:pStyle w:val="ListNumber"/>
      </w:pPr>
      <w:r>
        <w:rPr>
          <w:b/>
        </w:rPr>
        <w:t>Board Member / Officer Agreement + D&amp;O Coverage</w:t>
      </w:r>
    </w:p>
    <w:p>
      <w:pPr>
        <w:pStyle w:val="ListNumber"/>
      </w:pPr>
      <w:r>
        <w:rPr>
          <w:b/>
        </w:rPr>
        <w:t>Foundation Working-Group Volunteer Agreement</w:t>
      </w:r>
    </w:p>
    <w:p>
      <w:pPr>
        <w:pStyle w:val="ListNumber"/>
      </w:pPr>
      <w:r>
        <w:rPr>
          <w:b/>
        </w:rPr>
        <w:t>Ombudsman Charter</w:t>
      </w:r>
    </w:p>
    <w:p>
      <w:pPr>
        <w:pStyle w:val="ListNumber"/>
      </w:pPr>
      <w:r>
        <w:rPr>
          <w:b/>
        </w:rPr>
        <w:t>Content Moderation &amp; Community Standards Policy</w:t>
      </w:r>
    </w:p>
    <w:p>
      <w:pPr>
        <w:pStyle w:val="ListNumber"/>
      </w:pPr>
      <w:r>
        <w:rPr>
          <w:b/>
        </w:rPr>
        <w:t>Refund &amp; Returns Policy</w:t>
      </w:r>
      <w:r>
        <w:t xml:space="preserve"> (public-facing)</w:t>
      </w:r>
    </w:p>
    <w:p>
      <w:pPr>
        <w:pStyle w:val="ListNumber"/>
      </w:pPr>
      <w:r>
        <w:rPr>
          <w:b/>
        </w:rPr>
        <w:t>Sales-Tax Registration Plan</w:t>
      </w:r>
      <w:r>
        <w:t xml:space="preserve"> (state-by-state)</w:t>
      </w:r>
    </w:p>
    <w:p>
      <w:pPr>
        <w:pStyle w:val="ListNumber"/>
      </w:pPr>
      <w:r>
        <w:rPr>
          <w:b/>
        </w:rPr>
        <w:t>Trademark filings</w:t>
      </w:r>
      <w:r>
        <w:t xml:space="preserve"> (birthright wordmark + flame logo)</w:t>
      </w:r>
    </w:p>
    <w:p>
      <w:pPr>
        <w:pStyle w:val="ListNumber"/>
      </w:pPr>
      <w:r>
        <w:rPr>
          <w:b/>
        </w:rPr>
        <w:t>Copyright registration</w:t>
      </w:r>
      <w:r>
        <w:t xml:space="preserve"> strategy for workshop and Research materials</w:t>
      </w:r>
    </w:p>
    <w:p>
      <w:pPr>
        <w:pStyle w:val="ListNumber"/>
      </w:pPr>
      <w:r>
        <w:rPr>
          <w:b/>
        </w:rPr>
        <w:t>Data Processing Agreements</w:t>
      </w:r>
      <w:r>
        <w:t xml:space="preserve"> with sub-processors (§5)</w:t>
      </w:r>
    </w:p>
    <w:p>
      <w:pPr>
        <w:pStyle w:val="ListNumber"/>
      </w:pPr>
      <w:r>
        <w:rPr>
          <w:b/>
        </w:rPr>
        <w:t>Nonprofit governance instruments</w:t>
      </w:r>
      <w:r>
        <w:t>: Articles of Incorporation, Bylaws, Conflict-of-Interest Policy, Whistleblower Policy, Document Retention Policy (required for 1023 filing)</w:t>
      </w:r>
    </w:p>
    <w:p>
      <w:pPr>
        <w:pStyle w:val="ListNumber"/>
      </w:pPr>
      <w:r>
        <w:rPr>
          <w:b/>
        </w:rPr>
        <w:t>State charitable-solicitation registrations</w:t>
      </w:r>
      <w:r>
        <w:t xml:space="preserve"> (in states where donations are accepted)</w:t>
      </w:r>
    </w:p>
    <w:p/>
    <w:p>
      <w:pPr>
        <w:pStyle w:val="Heading2"/>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70">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67">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5">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r>
        <w:rPr>
          <w:b/>
        </w:rPr>
        <w:t>PCI-DSS SAQ-A</w:t>
      </w:r>
      <w:r>
        <w:t xml:space="preserve"> applicability (Stripe Checkout hosts card entry, so SAQ-A is generally sufficient; confirm with counsel).</w:t>
      </w:r>
    </w:p>
    <w:p>
      <w:pPr>
        <w:pStyle w:val="ListNumber"/>
      </w:pPr>
      <w:r>
        <w:rPr>
          <w:b/>
        </w:rPr>
        <w:t>Money transmitter</w:t>
      </w:r>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pPr>
      <w:r>
        <w:t>11. Reference URL Map (for counsel to inspect the live platform)</w:t>
      </w:r>
    </w:p>
    <w:p>
      <w:pPr>
        <w:pStyle w:val="Heading3"/>
      </w:pPr>
      <w:r>
        <w:t>Public / marketing</w:t>
      </w:r>
    </w:p>
    <w:p>
      <w:pPr>
        <w:pStyle w:val="ListBullet"/>
      </w:pPr>
      <w:r>
        <w:t xml:space="preserve">Home: </w:t>
      </w:r>
      <w:hyperlink r:id="rId71">
        <w:r>
          <w:rPr>
            <w:color w:val="0563C1"/>
            <w:u w:val="single"/>
          </w:rPr>
          <w:t xml:space="preserve">https://birthright.live/</w:t>
        </w:r>
      </w:hyperlink>
    </w:p>
    <w:p>
      <w:pPr>
        <w:pStyle w:val="ListBullet"/>
      </w:pPr>
      <w:r>
        <w:t xml:space="preserve">Founder Collection landing: </w:t>
      </w:r>
      <w:hyperlink r:id="rId72">
        <w:r>
          <w:rPr>
            <w:color w:val="0563C1"/>
            <w:u w:val="single"/>
          </w:rPr>
          <w:t xml:space="preserve">https://birthright.live/collection/founder</w:t>
        </w:r>
      </w:hyperlink>
    </w:p>
    <w:p>
      <w:pPr>
        <w:pStyle w:val="ListBullet"/>
      </w:pPr>
      <w:r>
        <w:t xml:space="preserve">Storefront: </w:t>
      </w:r>
      <w:hyperlink r:id="rId9">
        <w:r>
          <w:rPr>
            <w:color w:val="0563C1"/>
            <w:u w:val="single"/>
          </w:rPr>
          <w:t xml:space="preserve">https://birthright.live/equip</w:t>
        </w:r>
      </w:hyperlink>
    </w:p>
    <w:p>
      <w:pPr>
        <w:pStyle w:val="ListBullet"/>
      </w:pPr>
      <w:r>
        <w:t xml:space="preserve">Individual product example (7C's patch): </w:t>
      </w:r>
      <w:hyperlink r:id="rId73">
        <w:r>
          <w:rPr>
            <w:color w:val="0563C1"/>
            <w:u w:val="single"/>
          </w:rPr>
          <w:t xml:space="preserve">https://birthright.live/equip/founder-patch-04-bond-is-the-cure</w:t>
        </w:r>
      </w:hyperlink>
    </w:p>
    <w:p>
      <w:pPr>
        <w:pStyle w:val="ListBullet"/>
      </w:pPr>
      <w:r>
        <w:t xml:space="preserve">Gallery: </w:t>
      </w:r>
      <w:hyperlink r:id="rId18">
        <w:r>
          <w:rPr>
            <w:color w:val="0563C1"/>
            <w:u w:val="single"/>
          </w:rPr>
          <w:t xml:space="preserve">https://birthright.live/gallery</w:t>
        </w:r>
      </w:hyperlink>
    </w:p>
    <w:p>
      <w:pPr>
        <w:pStyle w:val="ListBullet"/>
      </w:pPr>
      <w:r>
        <w:t xml:space="preserve">Workshops: </w:t>
      </w:r>
      <w:hyperlink r:id="rId11">
        <w:r>
          <w:rPr>
            <w:color w:val="0563C1"/>
            <w:u w:val="single"/>
          </w:rPr>
          <w:t xml:space="preserve">https://birthright.live/gather</w:t>
        </w:r>
      </w:hyperlink>
    </w:p>
    <w:p>
      <w:pPr>
        <w:pStyle w:val="ListBullet"/>
      </w:pPr>
      <w:r>
        <w:t xml:space="preserve">Research articles: </w:t>
      </w:r>
      <w:hyperlink r:id="rId60">
        <w:r>
          <w:rPr>
            <w:color w:val="0563C1"/>
            <w:u w:val="single"/>
          </w:rPr>
          <w:t xml:space="preserve">https://birthright.live/research</w:t>
        </w:r>
      </w:hyperlink>
    </w:p>
    <w:p>
      <w:pPr>
        <w:pStyle w:val="ListBullet"/>
      </w:pPr>
      <w:r>
        <w:t xml:space="preserve">Partner application: </w:t>
      </w:r>
      <w:hyperlink r:id="rId30">
        <w:r>
          <w:rPr>
            <w:color w:val="0563C1"/>
            <w:u w:val="single"/>
          </w:rPr>
          <w:t xml:space="preserve">https://birthright.live/partner/apply</w:t>
        </w:r>
      </w:hyperlink>
    </w:p>
    <w:p>
      <w:pPr>
        <w:pStyle w:val="ListBullet"/>
      </w:pPr>
      <w:r>
        <w:t xml:space="preserve">Facilitator directory: </w:t>
      </w:r>
      <w:hyperlink r:id="rId74">
        <w:r>
          <w:rPr>
            <w:color w:val="0563C1"/>
            <w:u w:val="single"/>
          </w:rPr>
          <w:t xml:space="preserve">https://birthright.live/facilitators</w:t>
        </w:r>
      </w:hyperlink>
    </w:p>
    <w:p>
      <w:pPr>
        <w:pStyle w:val="ListBullet"/>
      </w:pPr>
      <w:r>
        <w:t xml:space="preserve">Sponsor / donate: </w:t>
      </w:r>
      <w:hyperlink r:id="rId13">
        <w:r>
          <w:rPr>
            <w:color w:val="0563C1"/>
            <w:u w:val="single"/>
          </w:rPr>
          <w:t xml:space="preserve">https://birthright.live/sponsor</w:t>
        </w:r>
      </w:hyperlink>
    </w:p>
    <w:p>
      <w:pPr>
        <w:pStyle w:val="ListBullet"/>
      </w:pPr>
      <w:r>
        <w:t xml:space="preserve">Contact / connect: </w:t>
      </w:r>
      <w:hyperlink r:id="rId75">
        <w:r>
          <w:rPr>
            <w:color w:val="0563C1"/>
            <w:u w:val="single"/>
          </w:rPr>
          <w:t xml:space="preserve">https://birthright.live/connect</w:t>
        </w:r>
      </w:hyperlink>
    </w:p>
    <w:p>
      <w:pPr>
        <w:pStyle w:val="Heading3"/>
      </w:pPr>
      <w:r>
        <w:t>Existing legal surfaces</w:t>
      </w:r>
    </w:p>
    <w:p>
      <w:pPr>
        <w:pStyle w:val="ListBullet"/>
      </w:pPr>
      <w:r>
        <w:t xml:space="preserve">Placeholder indemnification: </w:t>
      </w:r>
      <w:hyperlink r:id="rId29">
        <w:r>
          <w:rPr>
            <w:color w:val="0563C1"/>
            <w:u w:val="single"/>
          </w:rPr>
          <w:t xml:space="preserve">https://birthright.live/legal/indemnification</w:t>
        </w:r>
      </w:hyperlink>
    </w:p>
    <w:p>
      <w:pPr>
        <w:pStyle w:val="ListBullet"/>
      </w:pPr>
      <w:r>
        <w:t xml:space="preserve">Agreement acceptance flow: </w:t>
      </w:r>
      <w:hyperlink r:id="rId76">
        <w:r>
          <w:rPr>
            <w:color w:val="0563C1"/>
            <w:u w:val="single"/>
          </w:rPr>
          <w:t xml:space="preserve">https://birthright.live/legal/agreement</w:t>
        </w:r>
      </w:hyperlink>
    </w:p>
    <w:p>
      <w:pPr>
        <w:pStyle w:val="Heading3"/>
      </w:pPr>
      <w:r>
        <w:t>Member experience (requires account)</w:t>
      </w:r>
    </w:p>
    <w:p>
      <w:pPr>
        <w:pStyle w:val="ListBullet"/>
      </w:pPr>
      <w:r>
        <w:t xml:space="preserve">Register: </w:t>
      </w:r>
      <w:hyperlink r:id="rId28">
        <w:r>
          <w:rPr>
            <w:color w:val="0563C1"/>
            <w:u w:val="single"/>
          </w:rPr>
          <w:t xml:space="preserve">https://birthright.live/register</w:t>
        </w:r>
      </w:hyperlink>
    </w:p>
    <w:p>
      <w:pPr>
        <w:pStyle w:val="ListBullet"/>
      </w:pPr>
      <w:r>
        <w:t xml:space="preserve">Dashboard: </w:t>
      </w:r>
      <w:hyperlink r:id="rId77">
        <w:r>
          <w:rPr>
            <w:color w:val="0563C1"/>
            <w:u w:val="single"/>
          </w:rPr>
          <w:t xml:space="preserve">https://birthright.live/dashboard</w:t>
        </w:r>
      </w:hyperlink>
    </w:p>
    <w:p>
      <w:pPr>
        <w:pStyle w:val="ListBullet"/>
      </w:pPr>
      <w:r>
        <w:t xml:space="preserve">AI wallet: </w:t>
      </w:r>
      <w:hyperlink r:id="rId21">
        <w:r>
          <w:rPr>
            <w:color w:val="0563C1"/>
            <w:u w:val="single"/>
          </w:rPr>
          <w:t xml:space="preserve">https://birthright.live/dashboard/ai-wallet</w:t>
        </w:r>
      </w:hyperlink>
    </w:p>
    <w:p>
      <w:pPr>
        <w:pStyle w:val="ListBullet"/>
      </w:pPr>
      <w:r>
        <w:t xml:space="preserve">Messages: </w:t>
      </w:r>
      <w:hyperlink r:id="rId68">
        <w:r>
          <w:rPr>
            <w:color w:val="0563C1"/>
            <w:u w:val="single"/>
          </w:rPr>
          <w:t xml:space="preserve">https://birthright.live/dashboard/messages</w:t>
        </w:r>
      </w:hyperlink>
    </w:p>
    <w:p>
      <w:pPr>
        <w:pStyle w:val="ListBullet"/>
      </w:pPr>
      <w:r>
        <w:t xml:space="preserve">Disputes: </w:t>
      </w:r>
      <w:hyperlink r:id="rId65">
        <w:r>
          <w:rPr>
            <w:color w:val="0563C1"/>
            <w:u w:val="single"/>
          </w:rPr>
          <w:t xml:space="preserve">https://birthright.live/dashboard/disputes</w:t>
        </w:r>
      </w:hyperlink>
    </w:p>
    <w:p>
      <w:pPr>
        <w:pStyle w:val="ListBullet"/>
      </w:pPr>
      <w:r>
        <w:t xml:space="preserve">Bookmarks: </w:t>
      </w:r>
      <w:hyperlink r:id="rId78">
        <w:r>
          <w:rPr>
            <w:color w:val="0563C1"/>
            <w:u w:val="single"/>
          </w:rPr>
          <w:t xml:space="preserve">https://birthright.live/dashboard/bookmarks</w:t>
        </w:r>
      </w:hyperlink>
    </w:p>
    <w:p>
      <w:pPr>
        <w:pStyle w:val="Heading3"/>
      </w:pPr>
      <w:r>
        <w:t>Partner surfaces (requires partner account)</w:t>
      </w:r>
    </w:p>
    <w:p>
      <w:pPr>
        <w:pStyle w:val="ListBullet"/>
      </w:pPr>
      <w:r>
        <w:t xml:space="preserve">Partner dashboard: </w:t>
      </w:r>
      <w:hyperlink r:id="rId64">
        <w:r>
          <w:rPr>
            <w:color w:val="0563C1"/>
            <w:u w:val="single"/>
          </w:rPr>
          <w:t xml:space="preserve">https://birthright.live/dashboard/partner</w:t>
        </w:r>
      </w:hyperlink>
    </w:p>
    <w:p>
      <w:pPr>
        <w:pStyle w:val="ListBullet"/>
      </w:pPr>
      <w:r>
        <w:t xml:space="preserve">Payouts: </w:t>
      </w:r>
      <w:hyperlink r:id="rId24">
        <w:r>
          <w:rPr>
            <w:color w:val="0563C1"/>
            <w:u w:val="single"/>
          </w:rPr>
          <w:t xml:space="preserve">https://birthright.live/dashboard/partner/payouts</w:t>
        </w:r>
      </w:hyperlink>
    </w:p>
    <w:p>
      <w:pPr>
        <w:pStyle w:val="ListBullet"/>
      </w:pPr>
      <w:r>
        <w:t xml:space="preserve">Featured slot purchase: </w:t>
      </w:r>
      <w:hyperlink r:id="rId20">
        <w:r>
          <w:rPr>
            <w:color w:val="0563C1"/>
            <w:u w:val="single"/>
          </w:rPr>
          <w:t xml:space="preserve">https://birthright.live/dashboard/partner/featured</w:t>
        </w:r>
      </w:hyperlink>
    </w:p>
    <w:p>
      <w:pPr>
        <w:pStyle w:val="ListBullet"/>
      </w:pPr>
      <w:r>
        <w:t xml:space="preserve">Vendor product catalog: </w:t>
      </w:r>
      <w:hyperlink r:id="rId79">
        <w:r>
          <w:rPr>
            <w:color w:val="0563C1"/>
            <w:u w:val="single"/>
          </w:rPr>
          <w:t xml:space="preserve">https://birthright.live/dashboard/vendor/products</w:t>
        </w:r>
      </w:hyperlink>
    </w:p>
    <w:p>
      <w:pPr>
        <w:pStyle w:val="ListBullet"/>
      </w:pPr>
      <w:r>
        <w:t xml:space="preserve">Sales reports: </w:t>
      </w:r>
      <w:hyperlink r:id="rId80">
        <w:r>
          <w:rPr>
            <w:color w:val="0563C1"/>
            <w:u w:val="single"/>
          </w:rPr>
          <w:t xml:space="preserve">https://birthright.live/dashboard/partner/sales-reports</w:t>
        </w:r>
      </w:hyperlink>
    </w:p>
    <w:p>
      <w:pPr>
        <w:pStyle w:val="Heading3"/>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ListBullet"/>
      </w:pPr>
      <w:r>
        <w:rPr>
          <w:b/>
        </w:rPr>
        <w:t>Counsel review checklist (per-doc manual + auto tracking):</w:t>
      </w:r>
      <w:r>
        <w:t xml:space="preserve"> </w:t>
      </w:r>
      <w:r>
        <w:rPr>
          <w:rFonts w:ascii="Consolas" w:hAnsi="Consolas"/>
          <w:sz w:val="20"/>
        </w:rPr>
        <w:t>https://birthright.live/admin/counsel-review</w:t>
      </w:r>
    </w:p>
    <w:p>
      <w:pPr>
        <w:pStyle w:val="ListBullet"/>
      </w:pPr>
      <w:r>
        <w:rPr>
          <w:b/>
        </w:rPr>
        <w:t>Counsel activity log (admin-only; counsel blocked from own log):</w:t>
      </w:r>
      <w:r>
        <w:t xml:space="preserve"> </w:t>
      </w:r>
      <w:r>
        <w:rPr>
          <w:rFonts w:ascii="Consolas" w:hAnsi="Consolas"/>
          <w:sz w:val="20"/>
        </w:rPr>
        <w:t>https://birthright.live/admin/counsel-activity</w:t>
      </w:r>
    </w:p>
    <w:p>
      <w:pPr>
        <w:pStyle w:val="ListBullet"/>
      </w:pPr>
      <w:r>
        <w:rPr>
          <w:b/>
        </w:rPr>
        <w:t>User activity &amp; admin trace (Tier 1 + Tier 2 audit view):</w:t>
      </w:r>
      <w:r>
        <w:t xml:space="preserve"> </w:t>
      </w:r>
      <w:r>
        <w:rPr>
          <w:rFonts w:ascii="Consolas" w:hAnsi="Consolas"/>
          <w:sz w:val="20"/>
        </w:rPr>
        <w:t>https://birthright.live/admin/user-activity</w:t>
      </w:r>
    </w:p>
    <w:p>
      <w:pPr>
        <w:pStyle w:val="Heading3"/>
      </w:pPr>
      <w:r>
        <w:t>User-facing (any authenticated user)</w:t>
      </w:r>
    </w:p>
    <w:p>
      <w:pPr>
        <w:pStyle w:val="ListBullet"/>
      </w:pPr>
      <w:r>
        <w:rPr>
          <w:b/>
        </w:rPr>
        <w:t>My activity (security events on my own account):</w:t>
      </w:r>
      <w:r>
        <w:t xml:space="preserve"> </w:t>
      </w:r>
      <w:r>
        <w:rPr>
          <w:rFonts w:ascii="Consolas" w:hAnsi="Consolas"/>
          <w:sz w:val="20"/>
        </w:rPr>
        <w:t>https://birthright.live/account/activity</w:t>
      </w:r>
    </w:p>
    <w:p>
      <w:pPr>
        <w:pStyle w:val="Heading3"/>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81">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82">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83">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84">
        <w:r>
          <w:rPr>
            <w:color w:val="0563C1"/>
            <w:u w:val="single"/>
          </w:rPr>
          <w:t xml:space="preserve">/api/system-admin/emails</w:t>
        </w:r>
      </w:hyperlink>
      <w:r>
        <w:t xml:space="preserve"> (admin)</w:t>
      </w:r>
    </w:p>
    <w:p/>
    <w:p>
      <w:pPr>
        <w:pStyle w:val="Heading2"/>
      </w:pPr>
      <w:r>
        <w:t>12. Suggested Priority for Counsel Engagement</w:t>
      </w:r>
    </w:p>
    <w:p>
      <w:r>
        <w:t>Ordered by risk exposure today:</w:t>
      </w:r>
    </w:p>
    <w:p>
      <w:pPr>
        <w:pStyle w:val="ListNumber"/>
      </w:pPr>
      <w:r>
        <w:rPr>
          <w:b/>
        </w:rPr>
        <w:t>Terms of Service + Privacy Policy</w:t>
      </w:r>
      <w:r>
        <w:t xml:space="preserve"> — every purchase and account creation currently happens without a signed agreement. Highest immediate exposure.</w:t>
      </w:r>
    </w:p>
    <w:p>
      <w:pPr>
        <w:pStyle w:val="ListNumber"/>
      </w:pPr>
      <w:r>
        <w:rPr>
          <w:b/>
        </w:rPr>
        <w:t>Entity formation + tax status</w:t>
      </w:r>
      <w:r>
        <w:t xml:space="preserve"> — driving decision for everything else (donation deductibility, unrelated business income taxation (UBI), board indemnification).</w:t>
      </w:r>
    </w:p>
    <w:p>
      <w:pPr>
        <w:pStyle w:val="ListNumber"/>
      </w:pPr>
      <w:r>
        <w:rPr>
          <w:b/>
        </w:rPr>
        <w:t>Real indemnification agreement text</w:t>
      </w:r>
      <w:r>
        <w:t xml:space="preserve"> — the placeholder currently disclaims itself as "not legal advice."</w:t>
      </w:r>
    </w:p>
    <w:p>
      <w:pPr>
        <w:pStyle w:val="ListNumber"/>
      </w:pPr>
      <w:r>
        <w:rPr>
          <w:b/>
        </w:rPr>
        <w:t>Facilitator + Artist + Vendor agreements</w:t>
      </w:r>
      <w:r>
        <w:t xml:space="preserve"> — real money flows to third parties today with no written contract.</w:t>
      </w:r>
    </w:p>
    <w:p>
      <w:pPr>
        <w:pStyle w:val="ListNumber"/>
      </w:pPr>
      <w:r>
        <w:rPr>
          <w:b/>
        </w:rPr>
        <w:t>Sales-tax nexus + charitable-solicitation registration analysis</w:t>
      </w:r>
      <w:r>
        <w:t xml:space="preserve"> — state-by-state.</w:t>
      </w:r>
    </w:p>
    <w:p>
      <w:pPr>
        <w:pStyle w:val="ListNumber"/>
      </w:pPr>
      <w:r>
        <w:rPr>
          <w:b/>
        </w:rPr>
        <w:t>Trademark filings</w:t>
      </w:r>
      <w:r>
        <w:t xml:space="preserve"> for the birthright wordmark and flame logo.</w:t>
      </w:r>
    </w:p>
    <w:p>
      <w:pPr>
        <w:pStyle w:val="ListNumber"/>
      </w:pPr>
      <w:r>
        <w:rPr>
          <w:b/>
        </w:rPr>
        <w:t>Board/Officer agreements + D&amp;O policy</w:t>
      </w:r>
      <w:r>
        <w:t xml:space="preserve"> before recruiting real (non-sample) board members to replace the current placeholders.</w:t>
      </w:r>
    </w:p>
    <w:p>
      <w:pPr>
        <w:pStyle w:val="ListNumber"/>
      </w:pPr>
      <w:r>
        <w:rPr>
          <w:b/>
        </w:rPr>
        <w:t>Data privacy framework</w:t>
      </w:r>
      <w:r>
        <w:t xml:space="preserve"> (privacy policy, data processing agreements (DPAs), data subject access request (DSAR) workflow).</w:t>
      </w:r>
    </w:p>
    <w:p>
      <w:pPr>
        <w:pStyle w:val="ListNumber"/>
      </w:pPr>
      <w:r>
        <w:rPr>
          <w:b/>
        </w:rPr>
        <w:t>Refund / community-standards / dispute-arbitration</w:t>
      </w:r>
      <w:r>
        <w:t xml:space="preserve"> policies.</w:t>
      </w:r>
    </w:p>
    <w:p>
      <w:pPr>
        <w:pStyle w:val="ListNumber"/>
      </w:pPr>
      <w:r>
        <w:rPr>
          <w:b/>
        </w:rPr>
        <w:t>AI transparency + IP posture</w:t>
      </w:r>
      <w:r>
        <w:t xml:space="preserve"> on generated content.</w:t>
      </w:r>
    </w:p>
    <w:p/>
    <w:p>
      <w:pPr>
        <w:pStyle w:val="Heading2"/>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counsel@birthright.org</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rPr>
          <w:b/>
        </w:rPr>
        <w:t>One important disclosure:</w:t>
      </w:r>
      <w:r>
        <w:t xml:space="preserve"> every request from the counsel session (URL visited, HTTP method, response status, IP address, user-agent, and timestamp) is logged to an internal audit trail visible to Foundation administrators. This is a normal security measure and is described more fully in §4b and in the recommended Counsel Terms of Access (draft §8b item 22). Counsel accounts are themselves blocked from viewing the audit log, so a compromised counsel session cannot inspect or alter its own record.</w:t>
      </w:r>
    </w:p>
    <w:p>
      <w:r>
        <w:t xml:space="preserve">A companion </w:t>
      </w:r>
      <w:r>
        <w:rPr>
          <w:b/>
        </w:rPr>
        <w:t>review checklist</w:t>
      </w:r>
      <w:r>
        <w:t xml:space="preserve"> at </w:t>
      </w:r>
      <w:r>
        <w:rPr>
          <w:rFonts w:ascii="Consolas" w:hAnsi="Consolas"/>
          <w:sz w:val="20"/>
        </w:rPr>
        <w:t>https://birthright.live/admin/counsel-review</w:t>
      </w:r>
      <w:r>
        <w:t xml:space="preserve"> (visible to counsel and admin) lets counsel check off each document as reviewed with initials and notes; that record persists indefinitely as the durable sign-off trail.</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equip"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donate" TargetMode="External"/><Relationship Id="rId16" Type="http://schemas.openxmlformats.org/officeDocument/2006/relationships/hyperlink" Target="https://birthright.live/subscribe" TargetMode="External"/><Relationship Id="rId17" Type="http://schemas.openxmlformats.org/officeDocument/2006/relationships/hyperlink" Target="https://birthright.live/admin/subscriptions" TargetMode="External"/><Relationship Id="rId18" Type="http://schemas.openxmlformats.org/officeDocument/2006/relationships/hyperlink" Target="https://birthright.live/gallery" TargetMode="External"/><Relationship Id="rId19" Type="http://schemas.openxmlformats.org/officeDocument/2006/relationships/hyperlink" Target="https://birthright.live/gallery/artist/" TargetMode="External"/><Relationship Id="rId20" Type="http://schemas.openxmlformats.org/officeDocument/2006/relationships/hyperlink" Target="https://birthright.live/dashboard/partner/featured" TargetMode="External"/><Relationship Id="rId21" Type="http://schemas.openxmlformats.org/officeDocument/2006/relationships/hyperlink" Target="https://birthright.live/dashboard/ai-wallet" TargetMode="External"/><Relationship Id="rId22" Type="http://schemas.openxmlformats.org/officeDocument/2006/relationships/hyperlink" Target="https://birthright.live/join" TargetMode="External"/><Relationship Id="rId23" Type="http://schemas.openxmlformats.org/officeDocument/2006/relationships/hyperlink" Target="https://birthright.live/admin/foundation-applications" TargetMode="External"/><Relationship Id="rId24" Type="http://schemas.openxmlformats.org/officeDocument/2006/relationships/hyperlink" Target="https://birthright.live/dashboard/partner/payouts" TargetMode="External"/><Relationship Id="rId25" Type="http://schemas.openxmlformats.org/officeDocument/2006/relationships/hyperlink" Target="https://birthright.live/admin/payouts" TargetMode="External"/><Relationship Id="rId26" Type="http://schemas.openxmlformats.org/officeDocument/2006/relationships/hyperlink" Target="https://birthright.live/equip/founder-patch-*" TargetMode="External"/><Relationship Id="rId27" Type="http://schemas.openxmlformats.org/officeDocument/2006/relationships/hyperlink" Target="https://birthright.live/facilitators/" TargetMode="External"/><Relationship Id="rId28" Type="http://schemas.openxmlformats.org/officeDocument/2006/relationships/hyperlink" Target="https://birthright.live/register" TargetMode="External"/><Relationship Id="rId29" Type="http://schemas.openxmlformats.org/officeDocument/2006/relationships/hyperlink" Target="https://birthright.live/legal/indemnification" TargetMode="External"/><Relationship Id="rId30" Type="http://schemas.openxmlformats.org/officeDocument/2006/relationships/hyperlink" Target="https://birthright.live/partner/apply" TargetMode="External"/><Relationship Id="rId31" Type="http://schemas.openxmlformats.org/officeDocument/2006/relationships/hyperlink" Target="https://birthright.live/dashboard/vendor" TargetMode="External"/><Relationship Id="rId32" Type="http://schemas.openxmlformats.org/officeDocument/2006/relationships/hyperlink" Target="https://birthright.live/admin/ombudsman" TargetMode="External"/><Relationship Id="rId33" Type="http://schemas.openxmlformats.org/officeDocument/2006/relationships/hyperlink" Target="https://birthright.live/admin/counsel-activity" TargetMode="External"/><Relationship Id="rId34" Type="http://schemas.openxmlformats.org/officeDocument/2006/relationships/hyperlink" Target="https://birthright.live/account/activity" TargetMode="External"/><Relationship Id="rId35" Type="http://schemas.openxmlformats.org/officeDocument/2006/relationships/hyperlink" Target="https://birthright.live/api/legal/drafts/00-counsel-review-plan" TargetMode="External"/><Relationship Id="rId36" Type="http://schemas.openxmlformats.org/officeDocument/2006/relationships/hyperlink" Target="https://birthright.live/api/legal/drafts/00a-counsel-user-guide" TargetMode="External"/><Relationship Id="rId37" Type="http://schemas.openxmlformats.org/officeDocument/2006/relationships/hyperlink" Target="https://birthright.live/api/legal/drafts/01-terms-of-service" TargetMode="External"/><Relationship Id="rId38" Type="http://schemas.openxmlformats.org/officeDocument/2006/relationships/hyperlink" Target="https://birthright.live/api/legal/drafts/02-privacy-policy" TargetMode="External"/><Relationship Id="rId39" Type="http://schemas.openxmlformats.org/officeDocument/2006/relationships/hyperlink" Target="https://birthright.live/api/legal/drafts/03-cookie-notice" TargetMode="External"/><Relationship Id="rId40" Type="http://schemas.openxmlformats.org/officeDocument/2006/relationships/hyperlink" Target="https://birthright.live/api/legal/drafts/04-indemnification-hold-harmless" TargetMode="External"/><Relationship Id="rId41" Type="http://schemas.openxmlformats.org/officeDocument/2006/relationships/hyperlink" Target="https://birthright.live/api/legal/drafts/05-facilitator-services-agreement" TargetMode="External"/><Relationship Id="rId42" Type="http://schemas.openxmlformats.org/officeDocument/2006/relationships/hyperlink" Target="https://birthright.live/api/legal/drafts/06-artist-consignment-agreement" TargetMode="External"/><Relationship Id="rId43" Type="http://schemas.openxmlformats.org/officeDocument/2006/relationships/hyperlink" Target="https://birthright.live/api/legal/drafts/07-vendor-supplier-agreement" TargetMode="External"/><Relationship Id="rId44" Type="http://schemas.openxmlformats.org/officeDocument/2006/relationships/hyperlink" Target="https://birthright.live/api/legal/drafts/08-community-partner-referral-agreement" TargetMode="External"/><Relationship Id="rId45" Type="http://schemas.openxmlformats.org/officeDocument/2006/relationships/hyperlink" Target="https://birthright.live/api/legal/drafts/09-sponsorship-agreement" TargetMode="External"/><Relationship Id="rId46" Type="http://schemas.openxmlformats.org/officeDocument/2006/relationships/hyperlink" Target="https://birthright.live/api/legal/drafts/10-sliding-scale-scholarship-terms" TargetMode="External"/><Relationship Id="rId47" Type="http://schemas.openxmlformats.org/officeDocument/2006/relationships/hyperlink" Target="https://birthright.live/api/legal/drafts/11-board-officer-agreement" TargetMode="External"/><Relationship Id="rId48" Type="http://schemas.openxmlformats.org/officeDocument/2006/relationships/hyperlink" Target="https://birthright.live/api/legal/drafts/12-volunteer-agreement" TargetMode="External"/><Relationship Id="rId49" Type="http://schemas.openxmlformats.org/officeDocument/2006/relationships/hyperlink" Target="https://birthright.live/api/legal/drafts/13-ombudsman-charter" TargetMode="External"/><Relationship Id="rId50" Type="http://schemas.openxmlformats.org/officeDocument/2006/relationships/hyperlink" Target="https://birthright.live/api/legal/drafts/14-community-standards" TargetMode="External"/><Relationship Id="rId51" Type="http://schemas.openxmlformats.org/officeDocument/2006/relationships/hyperlink" Target="https://birthright.live/api/legal/drafts/15-refund-returns-policy" TargetMode="External"/><Relationship Id="rId52" Type="http://schemas.openxmlformats.org/officeDocument/2006/relationships/hyperlink" Target="https://birthright.live/api/legal/drafts/16-sales-tax-registration-plan" TargetMode="External"/><Relationship Id="rId53" Type="http://schemas.openxmlformats.org/officeDocument/2006/relationships/hyperlink" Target="https://birthright.live/api/legal/drafts/17-trademark-filings-plan" TargetMode="External"/><Relationship Id="rId54" Type="http://schemas.openxmlformats.org/officeDocument/2006/relationships/hyperlink" Target="https://birthright.live/api/legal/drafts/18-copyright-registration-strategy" TargetMode="External"/><Relationship Id="rId55" Type="http://schemas.openxmlformats.org/officeDocument/2006/relationships/hyperlink" Target="https://birthright.live/api/legal/drafts/19-data-processing-agreement-template" TargetMode="External"/><Relationship Id="rId56" Type="http://schemas.openxmlformats.org/officeDocument/2006/relationships/hyperlink" Target="https://birthright.live/api/legal/drafts/20-nonprofit-governance-bundle" TargetMode="External"/><Relationship Id="rId57" Type="http://schemas.openxmlformats.org/officeDocument/2006/relationships/hyperlink" Target="https://birthright.live/api/legal/drafts/21-charitable-solicitation-plan" TargetMode="External"/><Relationship Id="rId58" Type="http://schemas.openxmlformats.org/officeDocument/2006/relationships/hyperlink" Target="https://birthright.live/api/legal/drafts/22-istv-contract-analysis-memo" TargetMode="External"/><Relationship Id="rId59" Type="http://schemas.openxmlformats.org/officeDocument/2006/relationships/hyperlink" Target="https://birthright.live/admin" TargetMode="External"/><Relationship Id="rId60" Type="http://schemas.openxmlformats.org/officeDocument/2006/relationships/hyperlink" Target="https://birthright.live/research" TargetMode="External"/><Relationship Id="rId61" Type="http://schemas.openxmlformats.org/officeDocument/2006/relationships/hyperlink" Target="https://birthright.live/backend/static/products/" TargetMode="External"/><Relationship Id="rId62" Type="http://schemas.openxmlformats.org/officeDocument/2006/relationships/hyperlink" Target="https://birthright.live/admin/legal/agreements" TargetMode="External"/><Relationship Id="rId63" Type="http://schemas.openxmlformats.org/officeDocument/2006/relationships/hyperlink" Target="https://birthright.live/admin/foundation-roles" TargetMode="External"/><Relationship Id="rId64" Type="http://schemas.openxmlformats.org/officeDocument/2006/relationships/hyperlink" Target="https://birthright.live/dashboard/partner" TargetMode="External"/><Relationship Id="rId65" Type="http://schemas.openxmlformats.org/officeDocument/2006/relationships/hyperlink" Target="https://birthright.live/dashboard/disputes" TargetMode="External"/><Relationship Id="rId66" Type="http://schemas.openxmlformats.org/officeDocument/2006/relationships/hyperlink" Target="https://birthright.live/admin/disputes/" TargetMode="External"/><Relationship Id="rId67" Type="http://schemas.openxmlformats.org/officeDocument/2006/relationships/hyperlink" Target="https://birthright.live/admin/refunds" TargetMode="External"/><Relationship Id="rId68" Type="http://schemas.openxmlformats.org/officeDocument/2006/relationships/hyperlink" Target="https://birthright.live/dashboard/messages" TargetMode="External"/><Relationship Id="rId69" Type="http://schemas.openxmlformats.org/officeDocument/2006/relationships/hyperlink" Target="https://birthright.live/community" TargetMode="External"/><Relationship Id="rId70" Type="http://schemas.openxmlformats.org/officeDocument/2006/relationships/hyperlink" Target="https://birthright.live/api/webhook/stripe" TargetMode="External"/><Relationship Id="rId71" Type="http://schemas.openxmlformats.org/officeDocument/2006/relationships/hyperlink" Target="https://birthright.live/" TargetMode="External"/><Relationship Id="rId72" Type="http://schemas.openxmlformats.org/officeDocument/2006/relationships/hyperlink" Target="https://birthright.live/collection/founder" TargetMode="External"/><Relationship Id="rId73" Type="http://schemas.openxmlformats.org/officeDocument/2006/relationships/hyperlink" Target="https://birthright.live/equip/founder-patch-04-bond-is-the-cure" TargetMode="External"/><Relationship Id="rId74" Type="http://schemas.openxmlformats.org/officeDocument/2006/relationships/hyperlink" Target="https://birthright.live/facilitators" TargetMode="External"/><Relationship Id="rId75" Type="http://schemas.openxmlformats.org/officeDocument/2006/relationships/hyperlink" Target="https://birthright.live/connect" TargetMode="External"/><Relationship Id="rId76" Type="http://schemas.openxmlformats.org/officeDocument/2006/relationships/hyperlink" Target="https://birthright.live/legal/agreement" TargetMode="External"/><Relationship Id="rId77" Type="http://schemas.openxmlformats.org/officeDocument/2006/relationships/hyperlink" Target="https://birthright.live/dashboard" TargetMode="External"/><Relationship Id="rId78" Type="http://schemas.openxmlformats.org/officeDocument/2006/relationships/hyperlink" Target="https://birthright.live/dashboard/bookmarks" TargetMode="External"/><Relationship Id="rId79" Type="http://schemas.openxmlformats.org/officeDocument/2006/relationships/hyperlink" Target="https://birthright.live/dashboard/vendor/products" TargetMode="External"/><Relationship Id="rId80" Type="http://schemas.openxmlformats.org/officeDocument/2006/relationships/hyperlink" Target="https://birthright.live/dashboard/partner/sales-reports" TargetMode="External"/><Relationship Id="rId81" Type="http://schemas.openxmlformats.org/officeDocument/2006/relationships/hyperlink" Target="https://birthright.live/api/legal/indemnification/active" TargetMode="External"/><Relationship Id="rId82" Type="http://schemas.openxmlformats.org/officeDocument/2006/relationships/hyperlink" Target="https://birthright.live/api/legal/indemnification/versions" TargetMode="External"/><Relationship Id="rId83" Type="http://schemas.openxmlformats.org/officeDocument/2006/relationships/hyperlink" Target="https://birthright.live/api/audit" TargetMode="External"/><Relationship Id="rId84"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