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Cookie &amp; Tracking Notice</w:t>
      </w:r>
    </w:p>
    <w:p>
      <w:r>
        <w:t>This is a test replacement uploaded by counsel at 2026-08-04T20:39:50Z.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</w:t>
      </w:r>
    </w:p>
    <w:p>
      <w:r>
        <w:t>this document conflicts with mandatory rights of an EU or UK resident, the</w:t>
      </w:r>
    </w:p>
    <w:p>
      <w:r>
        <w:t>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</w:t>
      </w:r>
    </w:p>
    <w:p>
      <w:r>
        <w:t>of individuals in the EEA and UK. Where Birthright is the controller,</w:t>
      </w:r>
    </w:p>
    <w:p>
      <w:r>
        <w:t>the lawful bases relied on are: (i) contract necessity, (ii) legitimate</w:t>
      </w:r>
    </w:p>
    <w:p>
      <w:r>
        <w:t>interests (balanced by opt-out), (iii) consent (marketing and non-</w:t>
      </w:r>
    </w:p>
    <w:p>
      <w:r>
        <w:t>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</w:t>
      </w:r>
    </w:p>
    <w:p>
      <w:r>
        <w:t>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</w:t>
      </w:r>
    </w:p>
    <w:p>
      <w:r>
        <w:t>a 14-day right of withdrawal on distance sales of goods and most</w:t>
      </w:r>
    </w:p>
    <w:p>
      <w:r>
        <w:t>digital services. Where a workshop or digital product has been fully</w:t>
      </w:r>
    </w:p>
    <w:p>
      <w:r>
        <w:t>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</w:t>
      </w:r>
    </w:p>
    <w:p>
      <w:r>
        <w:t>intermediaries offering services in the EU; Birthright's community</w:t>
      </w:r>
    </w:p>
    <w:p>
      <w:r>
        <w:t>features (posts, DMs, disputes) fall within scope. A single point of</w:t>
      </w:r>
    </w:p>
    <w:p>
      <w:r>
        <w:t>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</w:t>
      </w:r>
    </w:p>
    <w:p>
      <w:r>
        <w:t>of AI systems affecting EU users. Birthright's AI features (Help</w:t>
      </w:r>
    </w:p>
    <w:p>
      <w:r>
        <w:t>Assistant, image generation, image captioning) are labeled as AI-</w:t>
      </w:r>
    </w:p>
    <w:p>
      <w:r>
        <w:t>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</w:t>
      </w:r>
    </w:p>
    <w:p>
      <w:r>
        <w:t>Contractual Clauses (2021/914) and the UK International Data Transfer</w:t>
      </w:r>
    </w:p>
    <w:p>
      <w:r>
        <w:t>Addendum, with a transfer-impact assessment on file for each sub-</w:t>
      </w:r>
    </w:p>
    <w:p>
      <w:r>
        <w:t>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</w:t>
      </w:r>
    </w:p>
    <w:p>
      <w:r>
        <w:t>once threshold criteria under GDPR Art. 37 are met. Contact:</w:t>
      </w:r>
    </w:p>
    <w:p>
      <w:r>
        <w:t>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</w:t>
      </w:r>
    </w:p>
    <w:p>
      <w:r>
        <w:t xml:space="preserve">and objection requests are responded to within </w:t>
      </w:r>
      <w:r>
        <w:rPr>
          <w:b/>
        </w:rPr>
        <w:t>30 days</w:t>
      </w:r>
      <w:r>
        <w:t xml:space="preserve"> (extendable</w:t>
      </w:r>
    </w:p>
    <w:p>
      <w:r>
        <w:t>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</w:t>
      </w:r>
    </w:p>
    <w:p>
      <w:r>
        <w:t>their local supervisory authority; a list is available at</w:t>
      </w:r>
    </w:p>
    <w:p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</w:t>
      </w:r>
    </w:p>
    <w:p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</w:t>
      </w:r>
    </w:p>
    <w:p>
      <w:r>
        <w:t>cross applicable thresholds, VAT registration (One-Stop-Shop or</w:t>
      </w:r>
    </w:p>
    <w:p>
      <w:r>
        <w:t>country-by-country) will be completed.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