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424"/>
          <w:sz w:val="40"/>
        </w:rPr>
        <w:t>Birthright Foundation — Legal Briefing for Counsel</w:t>
      </w:r>
    </w:p>
    <w:p>
      <w:pPr>
        <w:spacing w:after="40"/>
      </w:pPr>
      <w:r>
        <w:rPr>
          <w:i/>
        </w:rPr>
        <w:t>Prepared for: outside counsel forming the entity and drafting agreements.</w:t>
      </w:r>
    </w:p>
    <w:p>
      <w:pPr>
        <w:spacing w:after="40"/>
      </w:pPr>
      <w:r>
        <w:rPr>
          <w:i/>
        </w:rPr>
        <w:t>Prepared by: platform engineering (technical scoping only — not legal analysis).</w:t>
      </w:r>
    </w:p>
    <w:p>
      <w:r>
        <w:rPr>
          <w:i/>
        </w:rPr>
        <w:t xml:space="preserve">Version: February 2026. Production URL: </w:t>
      </w:r>
      <w:hyperlink r:id="rId9">
        <w:r>
          <w:rPr>
            <w:color w:val="0563C1"/>
            <w:u w:val="single"/>
          </w:rPr>
          <w:t xml:space="preserve">https://birthright.live</w:t>
        </w:r>
      </w:hyperlink>
    </w:p>
    <w:p>
      <w:pPr>
        <w:spacing w:before="120" w:after="240"/>
        <w:ind w:left="216"/>
      </w:pPr>
      <w:r>
        <w:rPr>
          <w:i/>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spacing w:before="280"/>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spacing w:before="280"/>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10">
              <w:r>
                <w:rPr>
                  <w:color w:val="0563C1"/>
                  <w:u w:val="single"/>
                </w:rPr>
                <w:t xml:space="preserve">/equip</w:t>
              </w:r>
            </w:hyperlink>
            <w:r>
              <w:t xml:space="preserve">, </w:t>
            </w:r>
            <w:hyperlink r:id="rId11">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2">
              <w:r>
                <w:rPr>
                  <w:color w:val="0563C1"/>
                  <w:u w:val="single"/>
                </w:rPr>
                <w:t xml:space="preserve">/gather</w:t>
              </w:r>
            </w:hyperlink>
            <w:r>
              <w:t xml:space="preserve">, </w:t>
            </w:r>
            <w:hyperlink r:id="rId13">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4">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5">
              <w:r>
                <w:rPr>
                  <w:color w:val="0563C1"/>
                  <w:u w:val="single"/>
                </w:rPr>
                <w:t xml:space="preserve">/support</w:t>
              </w:r>
            </w:hyperlink>
            <w:r>
              <w:t xml:space="preserve">, </w:t>
            </w:r>
            <w:hyperlink r:id="rId16">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7">
              <w:r>
                <w:rPr>
                  <w:color w:val="0563C1"/>
                  <w:u w:val="single"/>
                </w:rPr>
                <w:t xml:space="preserve">/subscribe</w:t>
              </w:r>
            </w:hyperlink>
            <w:r>
              <w:t xml:space="preserve">, admin at </w:t>
            </w:r>
            <w:hyperlink r:id="rId18">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9">
              <w:r>
                <w:rPr>
                  <w:color w:val="0563C1"/>
                  <w:u w:val="single"/>
                </w:rPr>
                <w:t xml:space="preserve">/gallery</w:t>
              </w:r>
            </w:hyperlink>
            <w:r>
              <w:t xml:space="preserve">, </w:t>
            </w:r>
            <w:hyperlink r:id="rId20">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1">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2">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3">
              <w:r>
                <w:rPr>
                  <w:color w:val="0563C1"/>
                  <w:u w:val="single"/>
                </w:rPr>
                <w:t xml:space="preserve">/join</w:t>
              </w:r>
            </w:hyperlink>
            <w:r>
              <w:t xml:space="preserve">, </w:t>
            </w:r>
            <w:hyperlink r:id="rId24">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5">
              <w:r>
                <w:rPr>
                  <w:color w:val="0563C1"/>
                  <w:u w:val="single"/>
                </w:rPr>
                <w:t xml:space="preserve">/dashboard/partner/payouts</w:t>
              </w:r>
            </w:hyperlink>
            <w:r>
              <w:t xml:space="preserve">, </w:t>
            </w:r>
            <w:hyperlink r:id="rId26">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7">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spacing w:before="280"/>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Description</w:t>
            </w:r>
          </w:p>
        </w:tc>
        <w:tc>
          <w:tcPr>
            <w:tcW w:type="dxa" w:w="3216"/>
          </w:tcPr>
          <w:p>
            <w:r>
              <w:rPr>
                <w:b/>
              </w:rPr>
            </w:r>
            <w:r>
              <w:rPr>
                <w:b/>
              </w:rPr>
              <w:t>Existing agreements?</w:t>
            </w:r>
          </w:p>
        </w:tc>
      </w:tr>
      <w:tr>
        <w:tc>
          <w:tcPr>
            <w:tcW w:type="dxa" w:w="3216"/>
          </w:tcPr>
          <w:p>
            <w:r/>
            <w:r>
              <w:rPr>
                <w:b/>
              </w:rPr>
              <w:t>Admin</w:t>
            </w:r>
          </w:p>
        </w:tc>
        <w:tc>
          <w:tcPr>
            <w:tcW w:type="dxa" w:w="3216"/>
          </w:tcPr>
          <w:p>
            <w:r/>
            <w:r>
              <w:t>Full platform control. Currently one person (executive director) + engineering.</w:t>
            </w:r>
          </w:p>
        </w:tc>
        <w:tc>
          <w:tcPr>
            <w:tcW w:type="dxa" w:w="3216"/>
          </w:tcPr>
          <w:p>
            <w:r/>
            <w:r>
              <w:t>None. Need admin/board conduct policy.</w:t>
            </w:r>
          </w:p>
        </w:tc>
      </w:tr>
      <w:tr>
        <w:tc>
          <w:tcPr>
            <w:tcW w:type="dxa" w:w="3216"/>
          </w:tcPr>
          <w:p>
            <w:r/>
            <w:r>
              <w:rPr>
                <w:b/>
              </w:rPr>
              <w:t>Facilitator</w:t>
            </w:r>
          </w:p>
        </w:tc>
        <w:tc>
          <w:tcPr>
            <w:tcW w:type="dxa" w:w="3216"/>
          </w:tcPr>
          <w:p>
            <w:r/>
            <w:r>
              <w:t xml:space="preserve">Leads workshops, has a public bio at </w:t>
            </w:r>
            <w:hyperlink r:id="rId28">
              <w:r>
                <w:rPr>
                  <w:color w:val="0563C1"/>
                  <w:u w:val="single"/>
                </w:rPr>
                <w:t xml:space="preserve">/facilitators/{slug}</w:t>
              </w:r>
            </w:hyperlink>
            <w:r>
              <w:t>. Paid per session or salaried.</w:t>
            </w:r>
          </w:p>
        </w:tc>
        <w:tc>
          <w:tcPr>
            <w:tcW w:type="dxa" w:w="3216"/>
          </w:tcPr>
          <w:p>
            <w:r/>
            <w:r>
              <w:t>None. Need facilitator services agreement + IP assignment for workshop materials.</w:t>
            </w:r>
          </w:p>
        </w:tc>
      </w:tr>
      <w:tr>
        <w:tc>
          <w:tcPr>
            <w:tcW w:type="dxa" w:w="3216"/>
          </w:tcPr>
          <w:p>
            <w:r/>
            <w:r>
              <w:rPr>
                <w:b/>
              </w:rPr>
              <w:t>Participant (member)</w:t>
            </w:r>
          </w:p>
        </w:tc>
        <w:tc>
          <w:tcPr>
            <w:tcW w:type="dxa" w:w="3216"/>
          </w:tcPr>
          <w:p>
            <w:r/>
            <w:r>
              <w:t xml:space="preserve">Standard end user. Signs up at </w:t>
            </w:r>
            <w:hyperlink r:id="rId29">
              <w:r>
                <w:rPr>
                  <w:color w:val="0563C1"/>
                  <w:u w:val="single"/>
                </w:rPr>
                <w:t xml:space="preserve">/register</w:t>
              </w:r>
            </w:hyperlink>
            <w:r>
              <w:t>.</w:t>
            </w:r>
          </w:p>
        </w:tc>
        <w:tc>
          <w:tcPr>
            <w:tcW w:type="dxa" w:w="3216"/>
          </w:tcPr>
          <w:p>
            <w:r/>
            <w:r>
              <w:t xml:space="preserve">Placeholder </w:t>
            </w:r>
            <w:r>
              <w:rPr>
                <w:b/>
              </w:rPr>
              <w:t>Universal Indemnification &amp; Hold-Harmless Agreement</w:t>
            </w:r>
            <w:r>
              <w:t xml:space="preserve"> at </w:t>
            </w:r>
            <w:hyperlink r:id="rId30">
              <w:r>
                <w:rPr>
                  <w:color w:val="0563C1"/>
                  <w:u w:val="single"/>
                </w:rPr>
                <w:t xml:space="preserve">/legal/indemnification</w:t>
              </w:r>
            </w:hyperlink>
            <w:r>
              <w:t xml:space="preserve"> (see §8). Terms of Service and Privacy Policy do NOT yet exist in publish-ready form.</w:t>
            </w:r>
          </w:p>
        </w:tc>
      </w:tr>
      <w:tr>
        <w:tc>
          <w:tcPr>
            <w:tcW w:type="dxa" w:w="3216"/>
          </w:tcPr>
          <w:p>
            <w:r/>
            <w:r>
              <w:rPr>
                <w:b/>
              </w:rPr>
              <w:t>Partner (artist)</w:t>
            </w:r>
          </w:p>
        </w:tc>
        <w:tc>
          <w:tcPr>
            <w:tcW w:type="dxa" w:w="3216"/>
          </w:tcPr>
          <w:p>
            <w:r/>
            <w:r>
              <w:t xml:space="preserve">Sells artwork via the platform gallery. Onboarded via </w:t>
            </w:r>
            <w:hyperlink r:id="rId31">
              <w:r>
                <w:rPr>
                  <w:color w:val="0563C1"/>
                  <w:u w:val="single"/>
                </w:rPr>
                <w:t xml:space="preserve">/partner/apply</w:t>
              </w:r>
            </w:hyperlink>
            <w:r>
              <w:t>. Handles fulfillment directly.</w:t>
            </w:r>
          </w:p>
        </w:tc>
        <w:tc>
          <w:tcPr>
            <w:tcW w:type="dxa" w:w="3216"/>
          </w:tcPr>
          <w:p>
            <w:r/>
            <w:r>
              <w:t>None. Need consignment/gallery agreement, artist warranty of authenticity, revenue-share terms.</w:t>
            </w:r>
          </w:p>
        </w:tc>
      </w:tr>
      <w:tr>
        <w:tc>
          <w:tcPr>
            <w:tcW w:type="dxa" w:w="3216"/>
          </w:tcPr>
          <w:p>
            <w:r/>
            <w:r>
              <w:rPr>
                <w:b/>
              </w:rPr>
              <w:t>Partner (vendor)</w:t>
            </w:r>
          </w:p>
        </w:tc>
        <w:tc>
          <w:tcPr>
            <w:tcW w:type="dxa" w:w="3216"/>
          </w:tcPr>
          <w:p>
            <w:r/>
            <w:r>
              <w:t xml:space="preserve">Sells physical goods (e.g., 7C's Farmstead patches) fulfilled by them. Onboarded via </w:t>
            </w:r>
            <w:hyperlink r:id="rId32">
              <w:r>
                <w:rPr>
                  <w:color w:val="0563C1"/>
                  <w:u w:val="single"/>
                </w:rPr>
                <w:t xml:space="preserve">/dashboard/vendor/*</w:t>
              </w:r>
            </w:hyperlink>
            <w:r>
              <w:t>.</w:t>
            </w:r>
          </w:p>
        </w:tc>
        <w:tc>
          <w:tcPr>
            <w:tcW w:type="dxa" w:w="3216"/>
          </w:tcPr>
          <w:p>
            <w:r/>
            <w:r>
              <w:t>None. Need supplier / dropship agreement, wholesale pricing terms, IP indemnity from vendor.</w:t>
            </w:r>
          </w:p>
        </w:tc>
      </w:tr>
      <w:tr>
        <w:tc>
          <w:tcPr>
            <w:tcW w:type="dxa" w:w="3216"/>
          </w:tcPr>
          <w:p>
            <w:r/>
            <w:r>
              <w:rPr>
                <w:b/>
              </w:rPr>
              <w:t>Community partner (referrer)</w:t>
            </w:r>
          </w:p>
        </w:tc>
        <w:tc>
          <w:tcPr>
            <w:tcW w:type="dxa" w:w="3216"/>
          </w:tcPr>
          <w:p>
            <w:r/>
            <w:r>
              <w:t>Non-vendor partners who refer traffic and earn a commission.</w:t>
            </w:r>
          </w:p>
        </w:tc>
        <w:tc>
          <w:tcPr>
            <w:tcW w:type="dxa" w:w="3216"/>
          </w:tcPr>
          <w:p>
            <w:r/>
            <w:r>
              <w:t>Placeholder referral terms in-app. Need formal referral agreement + Form W-9/1099 process.</w:t>
            </w:r>
          </w:p>
        </w:tc>
      </w:tr>
      <w:tr>
        <w:tc>
          <w:tcPr>
            <w:tcW w:type="dxa" w:w="3216"/>
          </w:tcPr>
          <w:p>
            <w:r/>
            <w:r>
              <w:rPr>
                <w:b/>
              </w:rPr>
              <w:t>Sponsor</w:t>
            </w:r>
          </w:p>
        </w:tc>
        <w:tc>
          <w:tcPr>
            <w:tcW w:type="dxa" w:w="3216"/>
          </w:tcPr>
          <w:p>
            <w:r/>
            <w:r>
              <w:t>Recurring financial supporter.</w:t>
            </w:r>
          </w:p>
        </w:tc>
        <w:tc>
          <w:tcPr>
            <w:tcW w:type="dxa" w:w="3216"/>
          </w:tcPr>
          <w:p>
            <w:r/>
            <w:r>
              <w:t>None. Public recognition needs sponsor consent language.</w:t>
            </w:r>
          </w:p>
        </w:tc>
      </w:tr>
      <w:tr>
        <w:tc>
          <w:tcPr>
            <w:tcW w:type="dxa" w:w="3216"/>
          </w:tcPr>
          <w:p>
            <w:r/>
            <w:r>
              <w:rPr>
                <w:b/>
              </w:rPr>
              <w:t>Foundation member</w:t>
            </w:r>
          </w:p>
        </w:tc>
        <w:tc>
          <w:tcPr>
            <w:tcW w:type="dxa" w:w="3216"/>
          </w:tcPr>
          <w:p>
            <w:r/>
            <w:r>
              <w:t xml:space="preserve">Paid governance / working-group role. </w:t>
            </w:r>
            <w:r>
              <w:rPr>
                <w:rFonts w:ascii="Consolas" w:hAnsi="Consolas"/>
                <w:sz w:val="20"/>
              </w:rPr>
              <w:t>is_foundation=true</w:t>
            </w:r>
            <w:r>
              <w:t>.</w:t>
            </w:r>
          </w:p>
        </w:tc>
        <w:tc>
          <w:tcPr>
            <w:tcW w:type="dxa" w:w="3216"/>
          </w:tcPr>
          <w:p>
            <w:r/>
            <w:r>
              <w:t>None. Need officer/director agreement + D&amp;O policy + conflict-of-interest disclosure.</w:t>
            </w:r>
          </w:p>
        </w:tc>
      </w:tr>
      <w:tr>
        <w:tc>
          <w:tcPr>
            <w:tcW w:type="dxa" w:w="3216"/>
          </w:tcPr>
          <w:p>
            <w:r/>
            <w:r>
              <w:rPr>
                <w:b/>
              </w:rPr>
              <w:t>Ombudsman</w:t>
            </w:r>
          </w:p>
        </w:tc>
        <w:tc>
          <w:tcPr>
            <w:tcW w:type="dxa" w:w="3216"/>
          </w:tcPr>
          <w:p>
            <w:r/>
            <w:r>
              <w:t xml:space="preserve">Handles disputes. Access at </w:t>
            </w:r>
            <w:hyperlink r:id="rId33">
              <w:r>
                <w:rPr>
                  <w:color w:val="0563C1"/>
                  <w:u w:val="single"/>
                </w:rPr>
                <w:t xml:space="preserve">/admin/ombudsman</w:t>
              </w:r>
            </w:hyperlink>
            <w:r>
              <w:t>.</w:t>
            </w:r>
          </w:p>
        </w:tc>
        <w:tc>
          <w:tcPr>
            <w:tcW w:type="dxa" w:w="3216"/>
          </w:tcPr>
          <w:p>
            <w:r/>
            <w:r>
              <w:t>None. Need ombudsman charter + confidentiality clause.</w:t>
            </w:r>
          </w:p>
        </w:tc>
      </w:tr>
    </w:tbl>
    <w:p/>
    <w:p>
      <w:r>
        <w:rPr>
          <w:b/>
        </w:rPr>
        <w:t>Key legal questions:</w:t>
      </w:r>
    </w:p>
    <w:p>
      <w:pPr>
        <w:pStyle w:val="ListNumber"/>
      </w:pPr>
      <w:r>
        <w:t>Independent-contractor vs. employee classification for facilitators.</w:t>
      </w:r>
    </w:p>
    <w:p>
      <w:pPr>
        <w:pStyle w:val="ListNumber"/>
      </w:pPr>
      <w:r>
        <w:t>W-9 collection and 1099-NEC/1099-K threshold compliance for partner payouts.</w:t>
      </w:r>
    </w:p>
    <w:p>
      <w:pPr>
        <w:pStyle w:val="ListNumber"/>
      </w:pPr>
      <w:r>
        <w:t>Standard board/officer indemnification clauses + D&amp;O insurance.</w:t>
      </w:r>
    </w:p>
    <w:p>
      <w:pPr>
        <w:pStyle w:val="ListNumber"/>
      </w:pPr>
      <w:r>
        <w:t>Volunteer waivers (facilitators occasionally host free sessions).</w:t>
      </w:r>
    </w:p>
    <w:p/>
    <w:p>
      <w:pPr>
        <w:pStyle w:val="Heading2"/>
        <w:spacing w:before="280"/>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HIPAA-covered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hyperlink r:id="rId34">
        <w:r>
          <w:rPr>
            <w:color w:val="0563C1"/>
            <w:u w:val="single"/>
          </w:rPr>
          <w:t xml:space="preserve">Privacy policy</w:t>
        </w:r>
      </w:hyperlink>
      <w:r>
        <w:t xml:space="preserve"> covering all of the above — currently missing.</w:t>
      </w:r>
    </w:p>
    <w:p>
      <w:pPr>
        <w:pStyle w:val="ListNumber"/>
      </w:pPr>
      <w:hyperlink r:id="rId34">
        <w:r>
          <w:rPr>
            <w:color w:val="0563C1"/>
            <w:u w:val="single"/>
          </w:rPr>
          <w:t xml:space="preserve">GDPR / UK-GDPR / CCPA / CPRA / VCDPA / CPA / TDPSA</w:t>
        </w:r>
      </w:hyperlink>
      <w:r>
        <w:t xml:space="preserve"> applicability — buyers can transact from anywhere. Right-of-access and deletion workflows are not yet built.</w:t>
      </w:r>
    </w:p>
    <w:p>
      <w:pPr>
        <w:pStyle w:val="ListNumber"/>
      </w:pPr>
      <w:hyperlink r:id="rId34">
        <w:r>
          <w:rPr>
            <w:color w:val="0563C1"/>
            <w:u w:val="single"/>
          </w:rPr>
          <w:t xml:space="preserve">Age gate.</w:t>
        </w:r>
      </w:hyperlink>
      <w:r>
        <w:t xml:space="preserve"> No COPPA age-gate today; workshops describe attachment work aimed at adults but nothing prevents a minor from signing up.</w:t>
      </w:r>
    </w:p>
    <w:p>
      <w:pPr>
        <w:pStyle w:val="ListNumber"/>
      </w:pPr>
      <w:hyperlink r:id="rId34">
        <w:r>
          <w:rPr>
            <w:color w:val="0563C1"/>
            <w:u w:val="single"/>
          </w:rPr>
          <w:t xml:space="preserve">Data processing agreements (DPAs)</w:t>
        </w:r>
      </w:hyperlink>
      <w:r>
        <w:t xml:space="preserve"> with each sub-processor (see §5).</w:t>
      </w:r>
    </w:p>
    <w:p>
      <w:pPr>
        <w:pStyle w:val="ListNumber"/>
      </w:pPr>
      <w:hyperlink r:id="rId34">
        <w:r>
          <w:rPr>
            <w:color w:val="0563C1"/>
            <w:u w:val="single"/>
          </w:rPr>
          <w:t xml:space="preserve">Retention schedule</w:t>
        </w:r>
      </w:hyperlink>
      <w:r>
        <w:t xml:space="preserve"> for chat/DM/journaling content.</w:t>
      </w:r>
    </w:p>
    <w:p>
      <w:pPr>
        <w:pStyle w:val="ListNumber"/>
      </w:pPr>
      <w:hyperlink r:id="rId34">
        <w:r>
          <w:rPr>
            <w:color w:val="0563C1"/>
            <w:u w:val="single"/>
          </w:rPr>
          <w:t xml:space="preserve">Breach-notification obligations</w:t>
        </w:r>
      </w:hyperlink>
      <w:r>
        <w:t xml:space="preserve"> (state-by-state).</w:t>
      </w:r>
    </w:p>
    <w:p>
      <w:pPr>
        <w:pStyle w:val="ListNumber"/>
      </w:pPr>
      <w:hyperlink r:id="rId34">
        <w:r>
          <w:rPr>
            <w:color w:val="0563C1"/>
            <w:u w:val="single"/>
          </w:rPr>
          <w:t xml:space="preserve">Health-adjacent content</w:t>
        </w:r>
      </w:hyperlink>
      <w:r>
        <w:t xml:space="preserve"> — decide whether platform copy needs an explicit "this is not therapy" disclaimer beyond what's in the indemnification agreement.</w:t>
      </w:r>
    </w:p>
    <w:p/>
    <w:p>
      <w:pPr>
        <w:pStyle w:val="Heading2"/>
        <w:spacing w:before="280"/>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 xml:space="preserve">Which of these require a written </w:t>
      </w:r>
      <w:r>
        <w:rPr>
          <w:b/>
        </w:rPr>
        <w:t>DPA</w:t>
      </w:r>
      <w:r>
        <w:t xml:space="preserve"> under GDPR/CCPA?</w:t>
      </w:r>
    </w:p>
    <w:p>
      <w:pPr>
        <w:pStyle w:val="ListNumber"/>
      </w:pPr>
      <w:r>
        <w:t>Sub-processor list needs to be published in the privacy policy.</w:t>
      </w:r>
    </w:p>
    <w:p>
      <w:pPr>
        <w:pStyle w:val="ListNumber"/>
      </w:pPr>
      <w:r>
        <w:t>Cross-border data transfer mechanisms (SCCs) for EU users if applicable.</w:t>
      </w:r>
    </w:p>
    <w:p/>
    <w:p>
      <w:pPr>
        <w:pStyle w:val="Heading2"/>
        <w:spacing w:before="280"/>
      </w:pPr>
      <w:r>
        <w:t>6. Intellectual Property Landscape</w:t>
      </w:r>
    </w:p>
    <w:p>
      <w:pPr>
        <w:pStyle w:val="Heading3"/>
        <w:spacing w:before="200"/>
      </w:pPr>
      <w:r>
        <w:t>6.1 Brand</w:t>
      </w:r>
    </w:p>
    <w:p>
      <w:pPr>
        <w:pStyle w:val="ListBullet"/>
      </w:pPr>
      <w:r>
        <w:t xml:space="preserve">Marks in use: </w:t>
      </w:r>
      <w:r>
        <w:rPr>
          <w:b/>
        </w:rPr>
        <w:t>"birthright"</w:t>
      </w:r>
      <w:r>
        <w:t xml:space="preserve">, </w:t>
      </w:r>
      <w:r>
        <w:rPr>
          <w:b/>
        </w:rPr>
        <w:t>"birthright.live"</w:t>
      </w:r>
      <w:r>
        <w:t xml:space="preserve">, tagline </w:t>
      </w:r>
      <w:r>
        <w:rPr>
          <w:b/>
        </w:rPr>
        <w:t>"You are the founder of your own love story"</w:t>
      </w:r>
      <w:r>
        <w:t xml:space="preserve">, </w:t>
      </w:r>
      <w:r>
        <w:rPr>
          <w:b/>
        </w:rPr>
        <w:t>"Secure connection is your birthright"</w:t>
      </w:r>
      <w:r>
        <w:t xml:space="preserve">, </w:t>
      </w:r>
      <w:r>
        <w:rPr>
          <w:b/>
        </w:rPr>
        <w:t>"The bond is the cure"</w:t>
      </w:r>
      <w:r>
        <w:t xml:space="preserve">, </w:t>
      </w:r>
      <w:r>
        <w:rPr>
          <w:b/>
        </w:rPr>
        <w:t>"Repair is older than rupture"</w:t>
      </w:r>
      <w:r>
        <w:t xml:space="preserve">, </w:t>
      </w:r>
      <w:r>
        <w:rPr>
          <w:b/>
        </w:rPr>
        <w:t>"We are created for connection"</w:t>
      </w:r>
      <w:r>
        <w:t>.</w:t>
      </w:r>
    </w:p>
    <w:p>
      <w:pPr>
        <w:pStyle w:val="ListBullet"/>
      </w:pPr>
      <w:r>
        <w:t xml:space="preserve">Logo: an ember-gold flame + wordmark. Asset URL: </w:t>
      </w:r>
      <w:r>
        <w:rPr>
          <w:rFonts w:ascii="Consolas" w:hAnsi="Consolas"/>
          <w:sz w:val="20"/>
        </w:rPr>
        <w:t>https://customer-assets.emergentagent.com/job_c61b4345-eef4-4783-a5af-85e8af10eaf3/artifacts/s0oix25k_image.png</w:t>
      </w:r>
      <w:r>
        <w:t>.</w:t>
      </w:r>
    </w:p>
    <w:p>
      <w:pPr>
        <w:pStyle w:val="ListBullet"/>
      </w:pPr>
      <w:r>
        <w:t>No trademark filings yet.</w:t>
      </w:r>
    </w:p>
    <w:p>
      <w:pPr>
        <w:pStyle w:val="Heading3"/>
        <w:spacing w:before="200"/>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35">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spacing w:before="200"/>
      </w:pPr>
      <w:r>
        <w:t>6.3 AI-generated content stored on the platform</w:t>
      </w:r>
    </w:p>
    <w:p>
      <w:pPr>
        <w:pStyle w:val="ListBullet"/>
      </w:pPr>
      <w:r>
        <w:rPr>
          <w:b/>
        </w:rPr>
        <w:t>Hero and additional product images</w:t>
      </w:r>
      <w:r>
        <w:t xml:space="preserve"> generated by Gemini Nano Banana (~55 images published so far). Stored under </w:t>
      </w:r>
      <w:hyperlink r:id="rId36">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spacing w:before="200"/>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spacing w:before="200"/>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spacing w:before="280"/>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spacing w:before="280"/>
      </w:pPr>
      <w:r>
        <w:t>8. Existing Agreements &amp; Legal Copy in the App</w:t>
      </w:r>
    </w:p>
    <w:p>
      <w:pPr>
        <w:pStyle w:val="Heading3"/>
        <w:spacing w:before="200"/>
      </w:pPr>
      <w:r>
        <w:t>8.1 Indemnification Agreement (placeholder)</w:t>
      </w:r>
    </w:p>
    <w:p>
      <w:pPr>
        <w:pStyle w:val="ListBullet"/>
      </w:pPr>
      <w:r>
        <w:t xml:space="preserve">Path: </w:t>
      </w:r>
      <w:hyperlink r:id="rId30">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37">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spacing w:before="200"/>
      </w:pPr>
      <w:r>
        <w:t>8.2 Foundation-role Agreements</w:t>
      </w:r>
    </w:p>
    <w:p>
      <w:pPr>
        <w:pStyle w:val="ListBullet"/>
      </w:pPr>
      <w:r>
        <w:t xml:space="preserve">Path: </w:t>
      </w:r>
      <w:hyperlink r:id="rId38">
        <w:r>
          <w:rPr>
            <w:color w:val="0563C1"/>
            <w:u w:val="single"/>
          </w:rPr>
          <w:t xml:space="preserve">/admin/foundation-roles</w:t>
        </w:r>
      </w:hyperlink>
      <w:r>
        <w:t xml:space="preserve">, </w:t>
      </w:r>
      <w:hyperlink r:id="rId24">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spacing w:before="200"/>
      </w:pPr>
      <w:r>
        <w:t>8.3 Partner / Facilitator / Vendor onboarding</w:t>
      </w:r>
    </w:p>
    <w:p>
      <w:pPr>
        <w:pStyle w:val="ListBullet"/>
      </w:pPr>
      <w:r>
        <w:t xml:space="preserve">Frontend flows exist at </w:t>
      </w:r>
      <w:hyperlink r:id="rId31">
        <w:r>
          <w:rPr>
            <w:color w:val="0563C1"/>
            <w:u w:val="single"/>
          </w:rPr>
          <w:t xml:space="preserve">/partner/apply</w:t>
        </w:r>
      </w:hyperlink>
      <w:r>
        <w:t xml:space="preserve">, </w:t>
      </w:r>
      <w:hyperlink r:id="rId39">
        <w:r>
          <w:rPr>
            <w:color w:val="0563C1"/>
            <w:u w:val="single"/>
          </w:rPr>
          <w:t xml:space="preserve">/dashboard/partner</w:t>
        </w:r>
      </w:hyperlink>
      <w:r>
        <w:t xml:space="preserve">, </w:t>
      </w:r>
      <w:hyperlink r:id="rId32">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spacing w:before="200"/>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spacing w:before="200"/>
      </w:pPr>
      <w:r>
        <w:t>8.5 Disputes &amp; Ombudsman</w:t>
      </w:r>
    </w:p>
    <w:p>
      <w:pPr>
        <w:pStyle w:val="ListBullet"/>
      </w:pPr>
      <w:r>
        <w:t xml:space="preserve">Path: </w:t>
      </w:r>
      <w:hyperlink r:id="rId40">
        <w:r>
          <w:rPr>
            <w:color w:val="0563C1"/>
            <w:u w:val="single"/>
          </w:rPr>
          <w:t xml:space="preserve">/dashboard/disputes</w:t>
        </w:r>
      </w:hyperlink>
      <w:r>
        <w:t xml:space="preserve">, </w:t>
      </w:r>
      <w:hyperlink r:id="rId33">
        <w:r>
          <w:rPr>
            <w:color w:val="0563C1"/>
            <w:u w:val="single"/>
          </w:rPr>
          <w:t xml:space="preserve">/admin/ombudsman</w:t>
        </w:r>
      </w:hyperlink>
      <w:r>
        <w:t xml:space="preserve">, </w:t>
      </w:r>
      <w:hyperlink r:id="rId41">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spacing w:before="200"/>
      </w:pPr>
      <w:r>
        <w:t>8.6 Refund handling</w:t>
      </w:r>
    </w:p>
    <w:p>
      <w:pPr>
        <w:pStyle w:val="ListBullet"/>
      </w:pPr>
      <w:r>
        <w:t xml:space="preserve">Backend: </w:t>
      </w:r>
      <w:r>
        <w:rPr>
          <w:rFonts w:ascii="Consolas" w:hAnsi="Consolas"/>
          <w:sz w:val="20"/>
        </w:rPr>
        <w:t>routers/refunds.py</w:t>
      </w:r>
      <w:r>
        <w:t xml:space="preserve">, admin at </w:t>
      </w:r>
      <w:hyperlink r:id="rId42">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spacing w:before="200"/>
      </w:pPr>
      <w:r>
        <w:t>8.7 Community conduct</w:t>
      </w:r>
    </w:p>
    <w:p>
      <w:pPr>
        <w:pStyle w:val="ListBullet"/>
      </w:pPr>
      <w:r>
        <w:t xml:space="preserve">Community features live at </w:t>
      </w:r>
      <w:hyperlink r:id="rId12">
        <w:r>
          <w:rPr>
            <w:color w:val="0563C1"/>
            <w:u w:val="single"/>
          </w:rPr>
          <w:t xml:space="preserve">/gather</w:t>
        </w:r>
      </w:hyperlink>
      <w:r>
        <w:t xml:space="preserve">, </w:t>
      </w:r>
      <w:hyperlink r:id="rId43">
        <w:r>
          <w:rPr>
            <w:color w:val="0563C1"/>
            <w:u w:val="single"/>
          </w:rPr>
          <w:t xml:space="preserve">/dashboard/messages</w:t>
        </w:r>
      </w:hyperlink>
      <w:r>
        <w:t xml:space="preserve">, </w:t>
      </w:r>
      <w:hyperlink r:id="rId44">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hyperlink r:id="rId34">
        <w:r>
          <w:rPr>
            <w:color w:val="0563C1"/>
            <w:u w:val="single"/>
          </w:rPr>
          <w:t xml:space="preserve">Terms of Service</w:t>
        </w:r>
      </w:hyperlink>
      <w:r>
        <w:t xml:space="preserve"> (with mandatory-arbitration and class-waiver clauses if desired)</w:t>
      </w:r>
    </w:p>
    <w:p>
      <w:pPr>
        <w:pStyle w:val="ListNumber"/>
      </w:pPr>
      <w:hyperlink r:id="rId34">
        <w:r>
          <w:rPr>
            <w:color w:val="0563C1"/>
            <w:u w:val="single"/>
          </w:rPr>
          <w:t xml:space="preserve">Privacy Policy</w:t>
        </w:r>
      </w:hyperlink>
      <w:r>
        <w:t xml:space="preserve"> (with sub-processor list, retention schedule, DSAR workflow)</w:t>
      </w:r>
    </w:p>
    <w:p>
      <w:pPr>
        <w:pStyle w:val="ListNumber"/>
      </w:pPr>
      <w:hyperlink r:id="rId34">
        <w:r>
          <w:rPr>
            <w:color w:val="0563C1"/>
            <w:u w:val="single"/>
          </w:rPr>
          <w:t xml:space="preserve">Cookie / Tracking Notice</w:t>
        </w:r>
      </w:hyperlink>
      <w:r>
        <w:t xml:space="preserve"> (currently: no banner, minimal cookies used)</w:t>
      </w:r>
    </w:p>
    <w:p>
      <w:pPr>
        <w:pStyle w:val="ListNumber"/>
      </w:pPr>
      <w:hyperlink r:id="rId34">
        <w:r>
          <w:rPr>
            <w:color w:val="0563C1"/>
            <w:u w:val="single"/>
          </w:rPr>
          <w:t xml:space="preserve">Universal Indemnification &amp; Hold-Harmless</w:t>
        </w:r>
      </w:hyperlink>
      <w:r>
        <w:t xml:space="preserve"> — real text to replace placeholder at </w:t>
      </w:r>
      <w:hyperlink r:id="rId30">
        <w:r>
          <w:rPr>
            <w:color w:val="0563C1"/>
            <w:u w:val="single"/>
          </w:rPr>
          <w:t xml:space="preserve">/legal/indemnification</w:t>
        </w:r>
      </w:hyperlink>
    </w:p>
    <w:p>
      <w:pPr>
        <w:pStyle w:val="ListNumber"/>
      </w:pPr>
      <w:hyperlink r:id="rId34">
        <w:r>
          <w:rPr>
            <w:color w:val="0563C1"/>
            <w:u w:val="single"/>
          </w:rPr>
          <w:t xml:space="preserve">Facilitator Services Agreement + IP Assignment</w:t>
        </w:r>
      </w:hyperlink>
    </w:p>
    <w:p>
      <w:pPr>
        <w:pStyle w:val="ListNumber"/>
      </w:pPr>
      <w:hyperlink r:id="rId34">
        <w:r>
          <w:rPr>
            <w:color w:val="0563C1"/>
            <w:u w:val="single"/>
          </w:rPr>
          <w:t xml:space="preserve">Artist Consignment / Gallery Partner Agreement</w:t>
        </w:r>
      </w:hyperlink>
    </w:p>
    <w:p>
      <w:pPr>
        <w:pStyle w:val="ListNumber"/>
      </w:pPr>
      <w:hyperlink r:id="rId34">
        <w:r>
          <w:rPr>
            <w:color w:val="0563C1"/>
            <w:u w:val="single"/>
          </w:rPr>
          <w:t xml:space="preserve">Vendor Supplier / Dropship Agreement</w:t>
        </w:r>
      </w:hyperlink>
      <w:r>
        <w:t xml:space="preserve"> (specifically for 7C's Farmstead first)</w:t>
      </w:r>
    </w:p>
    <w:p>
      <w:pPr>
        <w:pStyle w:val="ListNumber"/>
      </w:pPr>
      <w:hyperlink r:id="rId34">
        <w:r>
          <w:rPr>
            <w:color w:val="0563C1"/>
            <w:u w:val="single"/>
          </w:rPr>
          <w:t xml:space="preserve">Community Partner Referral Agreement</w:t>
        </w:r>
      </w:hyperlink>
      <w:r>
        <w:t xml:space="preserve"> (with W-9/1099 language)</w:t>
      </w:r>
    </w:p>
    <w:p>
      <w:pPr>
        <w:pStyle w:val="ListNumber"/>
      </w:pPr>
      <w:hyperlink r:id="rId34">
        <w:r>
          <w:rPr>
            <w:color w:val="0563C1"/>
            <w:u w:val="single"/>
          </w:rPr>
          <w:t xml:space="preserve">Sponsorship Agreement / Sponsor Recognition Consent</w:t>
        </w:r>
      </w:hyperlink>
    </w:p>
    <w:p>
      <w:pPr>
        <w:pStyle w:val="ListNumber"/>
      </w:pPr>
      <w:hyperlink r:id="rId34">
        <w:r>
          <w:rPr>
            <w:color w:val="0563C1"/>
            <w:u w:val="single"/>
          </w:rPr>
          <w:t xml:space="preserve">Sliding-Scale &amp; Scholarship Terms</w:t>
        </w:r>
      </w:hyperlink>
      <w:r>
        <w:t xml:space="preserve"> (for workshop tiered pricing)</w:t>
      </w:r>
    </w:p>
    <w:p>
      <w:pPr>
        <w:pStyle w:val="ListNumber"/>
      </w:pPr>
      <w:hyperlink r:id="rId34">
        <w:r>
          <w:rPr>
            <w:color w:val="0563C1"/>
            <w:u w:val="single"/>
          </w:rPr>
          <w:t xml:space="preserve">Board Member / Officer Agreement + D&amp;O Coverage</w:t>
        </w:r>
      </w:hyperlink>
    </w:p>
    <w:p>
      <w:pPr>
        <w:pStyle w:val="ListNumber"/>
      </w:pPr>
      <w:hyperlink r:id="rId34">
        <w:r>
          <w:rPr>
            <w:color w:val="0563C1"/>
            <w:u w:val="single"/>
          </w:rPr>
          <w:t xml:space="preserve">Foundation Working-Group Volunteer Agreement</w:t>
        </w:r>
      </w:hyperlink>
    </w:p>
    <w:p>
      <w:pPr>
        <w:pStyle w:val="ListNumber"/>
      </w:pPr>
      <w:hyperlink r:id="rId34">
        <w:r>
          <w:rPr>
            <w:color w:val="0563C1"/>
            <w:u w:val="single"/>
          </w:rPr>
          <w:t xml:space="preserve">Ombudsman Charter</w:t>
        </w:r>
      </w:hyperlink>
    </w:p>
    <w:p>
      <w:pPr>
        <w:pStyle w:val="ListNumber"/>
      </w:pPr>
      <w:hyperlink r:id="rId34">
        <w:r>
          <w:rPr>
            <w:color w:val="0563C1"/>
            <w:u w:val="single"/>
          </w:rPr>
          <w:t xml:space="preserve">Content Moderation &amp; Community Standards Policy</w:t>
        </w:r>
      </w:hyperlink>
    </w:p>
    <w:p>
      <w:pPr>
        <w:pStyle w:val="ListNumber"/>
      </w:pPr>
      <w:hyperlink r:id="rId34">
        <w:r>
          <w:rPr>
            <w:color w:val="0563C1"/>
            <w:u w:val="single"/>
          </w:rPr>
          <w:t xml:space="preserve">Refund &amp; Returns Policy</w:t>
        </w:r>
      </w:hyperlink>
      <w:r>
        <w:t xml:space="preserve"> (public-facing)</w:t>
      </w:r>
    </w:p>
    <w:p>
      <w:pPr>
        <w:pStyle w:val="ListNumber"/>
      </w:pPr>
      <w:hyperlink r:id="rId34">
        <w:r>
          <w:rPr>
            <w:color w:val="0563C1"/>
            <w:u w:val="single"/>
          </w:rPr>
          <w:t xml:space="preserve">Sales-Tax Registration Plan</w:t>
        </w:r>
      </w:hyperlink>
      <w:r>
        <w:t xml:space="preserve"> (state-by-state)</w:t>
      </w:r>
    </w:p>
    <w:p>
      <w:pPr>
        <w:pStyle w:val="ListNumber"/>
      </w:pPr>
      <w:hyperlink r:id="rId34">
        <w:r>
          <w:rPr>
            <w:color w:val="0563C1"/>
            <w:u w:val="single"/>
          </w:rPr>
          <w:t xml:space="preserve">Trademark filings</w:t>
        </w:r>
      </w:hyperlink>
      <w:r>
        <w:t xml:space="preserve"> (birthright wordmark + flame logo)</w:t>
      </w:r>
    </w:p>
    <w:p>
      <w:pPr>
        <w:pStyle w:val="ListNumber"/>
      </w:pPr>
      <w:hyperlink r:id="rId34">
        <w:r>
          <w:rPr>
            <w:color w:val="0563C1"/>
            <w:u w:val="single"/>
          </w:rPr>
          <w:t xml:space="preserve">Copyright registration</w:t>
        </w:r>
      </w:hyperlink>
      <w:r>
        <w:t xml:space="preserve"> strategy for workshop and Research materials</w:t>
      </w:r>
    </w:p>
    <w:p>
      <w:pPr>
        <w:pStyle w:val="ListNumber"/>
      </w:pPr>
      <w:hyperlink r:id="rId34">
        <w:r>
          <w:rPr>
            <w:color w:val="0563C1"/>
            <w:u w:val="single"/>
          </w:rPr>
          <w:t xml:space="preserve">Data Processing Agreements</w:t>
        </w:r>
      </w:hyperlink>
      <w:r>
        <w:t xml:space="preserve"> with sub-processors (§5)</w:t>
      </w:r>
    </w:p>
    <w:p>
      <w:pPr>
        <w:pStyle w:val="ListNumber"/>
      </w:pPr>
      <w:hyperlink r:id="rId34">
        <w:r>
          <w:rPr>
            <w:color w:val="0563C1"/>
            <w:u w:val="single"/>
          </w:rPr>
          <w:t xml:space="preserve">Nonprofit governance instruments</w:t>
        </w:r>
      </w:hyperlink>
      <w:r>
        <w:t>: Articles of Incorporation, Bylaws, Conflict-of-Interest Policy, Whistleblower Policy, Document Retention Policy (required for 1023 filing)</w:t>
      </w:r>
    </w:p>
    <w:p>
      <w:pPr>
        <w:pStyle w:val="ListNumber"/>
      </w:pPr>
      <w:hyperlink r:id="rId34">
        <w:r>
          <w:rPr>
            <w:color w:val="0563C1"/>
            <w:u w:val="single"/>
          </w:rPr>
          <w:t xml:space="preserve">State charitable-solicitation registrations</w:t>
        </w:r>
      </w:hyperlink>
      <w:r>
        <w:t xml:space="preserve"> (in states where donations are accepted)</w:t>
      </w:r>
    </w:p>
    <w:p/>
    <w:p>
      <w:pPr>
        <w:pStyle w:val="Heading2"/>
        <w:spacing w:before="280"/>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45">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42">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6">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hyperlink r:id="rId34">
        <w:r>
          <w:rPr>
            <w:color w:val="0563C1"/>
            <w:u w:val="single"/>
          </w:rPr>
          <w:t xml:space="preserve">PCI-DSS SAQ-A</w:t>
        </w:r>
      </w:hyperlink>
      <w:r>
        <w:t xml:space="preserve"> applicability (Stripe Checkout hosts card entry, so SAQ-A is generally sufficient; confirm with counsel).</w:t>
      </w:r>
    </w:p>
    <w:p>
      <w:pPr>
        <w:pStyle w:val="ListNumber"/>
      </w:pPr>
      <w:hyperlink r:id="rId34">
        <w:r>
          <w:rPr>
            <w:color w:val="0563C1"/>
            <w:u w:val="single"/>
          </w:rPr>
          <w:t xml:space="preserve">Money transmitter</w:t>
        </w:r>
      </w:hyperlink>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spacing w:before="280"/>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spacing w:before="280"/>
      </w:pPr>
      <w:r>
        <w:t>11. Reference URL Map (for counsel to inspect the live platform)</w:t>
      </w:r>
    </w:p>
    <w:p>
      <w:pPr>
        <w:pStyle w:val="Heading3"/>
        <w:spacing w:before="200"/>
      </w:pPr>
      <w:r>
        <w:t>Public / marketing</w:t>
      </w:r>
    </w:p>
    <w:p>
      <w:pPr>
        <w:pStyle w:val="ListBullet"/>
      </w:pPr>
      <w:r>
        <w:t xml:space="preserve">Home: </w:t>
      </w:r>
      <w:hyperlink r:id="rId46">
        <w:r>
          <w:rPr>
            <w:color w:val="0563C1"/>
            <w:u w:val="single"/>
          </w:rPr>
          <w:t xml:space="preserve">https://birthright.live/</w:t>
        </w:r>
      </w:hyperlink>
    </w:p>
    <w:p>
      <w:pPr>
        <w:pStyle w:val="ListBullet"/>
      </w:pPr>
      <w:r>
        <w:t xml:space="preserve">Founder Collection landing: </w:t>
      </w:r>
      <w:hyperlink r:id="rId47">
        <w:r>
          <w:rPr>
            <w:color w:val="0563C1"/>
            <w:u w:val="single"/>
          </w:rPr>
          <w:t xml:space="preserve">https://birthright.live/collection/founder</w:t>
        </w:r>
      </w:hyperlink>
    </w:p>
    <w:p>
      <w:pPr>
        <w:pStyle w:val="ListBullet"/>
      </w:pPr>
      <w:r>
        <w:t xml:space="preserve">Storefront: </w:t>
      </w:r>
      <w:hyperlink r:id="rId10">
        <w:r>
          <w:rPr>
            <w:color w:val="0563C1"/>
            <w:u w:val="single"/>
          </w:rPr>
          <w:t xml:space="preserve">https://birthright.live/equip</w:t>
        </w:r>
      </w:hyperlink>
    </w:p>
    <w:p>
      <w:pPr>
        <w:pStyle w:val="ListBullet"/>
      </w:pPr>
      <w:r>
        <w:t xml:space="preserve">Individual product example (7C's patch): </w:t>
      </w:r>
      <w:hyperlink r:id="rId48">
        <w:r>
          <w:rPr>
            <w:color w:val="0563C1"/>
            <w:u w:val="single"/>
          </w:rPr>
          <w:t xml:space="preserve">https://birthright.live/equip/founder-patch-04-bond-is-the-cure</w:t>
        </w:r>
      </w:hyperlink>
    </w:p>
    <w:p>
      <w:pPr>
        <w:pStyle w:val="ListBullet"/>
      </w:pPr>
      <w:r>
        <w:t xml:space="preserve">Gallery: </w:t>
      </w:r>
      <w:hyperlink r:id="rId19">
        <w:r>
          <w:rPr>
            <w:color w:val="0563C1"/>
            <w:u w:val="single"/>
          </w:rPr>
          <w:t xml:space="preserve">https://birthright.live/gallery</w:t>
        </w:r>
      </w:hyperlink>
    </w:p>
    <w:p>
      <w:pPr>
        <w:pStyle w:val="ListBullet"/>
      </w:pPr>
      <w:r>
        <w:t xml:space="preserve">Workshops: </w:t>
      </w:r>
      <w:hyperlink r:id="rId12">
        <w:r>
          <w:rPr>
            <w:color w:val="0563C1"/>
            <w:u w:val="single"/>
          </w:rPr>
          <w:t xml:space="preserve">https://birthright.live/gather</w:t>
        </w:r>
      </w:hyperlink>
    </w:p>
    <w:p>
      <w:pPr>
        <w:pStyle w:val="ListBullet"/>
      </w:pPr>
      <w:r>
        <w:t xml:space="preserve">Research articles: </w:t>
      </w:r>
      <w:hyperlink r:id="rId35">
        <w:r>
          <w:rPr>
            <w:color w:val="0563C1"/>
            <w:u w:val="single"/>
          </w:rPr>
          <w:t xml:space="preserve">https://birthright.live/research</w:t>
        </w:r>
      </w:hyperlink>
    </w:p>
    <w:p>
      <w:pPr>
        <w:pStyle w:val="ListBullet"/>
      </w:pPr>
      <w:r>
        <w:t xml:space="preserve">Partner application: </w:t>
      </w:r>
      <w:hyperlink r:id="rId31">
        <w:r>
          <w:rPr>
            <w:color w:val="0563C1"/>
            <w:u w:val="single"/>
          </w:rPr>
          <w:t xml:space="preserve">https://birthright.live/partner/apply</w:t>
        </w:r>
      </w:hyperlink>
    </w:p>
    <w:p>
      <w:pPr>
        <w:pStyle w:val="ListBullet"/>
      </w:pPr>
      <w:r>
        <w:t xml:space="preserve">Facilitator directory: </w:t>
      </w:r>
      <w:hyperlink r:id="rId49">
        <w:r>
          <w:rPr>
            <w:color w:val="0563C1"/>
            <w:u w:val="single"/>
          </w:rPr>
          <w:t xml:space="preserve">https://birthright.live/facilitators</w:t>
        </w:r>
      </w:hyperlink>
    </w:p>
    <w:p>
      <w:pPr>
        <w:pStyle w:val="ListBullet"/>
      </w:pPr>
      <w:r>
        <w:t xml:space="preserve">Sponsor / donate: </w:t>
      </w:r>
      <w:hyperlink r:id="rId14">
        <w:r>
          <w:rPr>
            <w:color w:val="0563C1"/>
            <w:u w:val="single"/>
          </w:rPr>
          <w:t xml:space="preserve">https://birthright.live/sponsor</w:t>
        </w:r>
      </w:hyperlink>
    </w:p>
    <w:p>
      <w:pPr>
        <w:pStyle w:val="ListBullet"/>
      </w:pPr>
      <w:r>
        <w:t xml:space="preserve">Contact / connect: </w:t>
      </w:r>
      <w:hyperlink r:id="rId50">
        <w:r>
          <w:rPr>
            <w:color w:val="0563C1"/>
            <w:u w:val="single"/>
          </w:rPr>
          <w:t xml:space="preserve">https://birthright.live/connect</w:t>
        </w:r>
      </w:hyperlink>
    </w:p>
    <w:p>
      <w:pPr>
        <w:pStyle w:val="Heading3"/>
        <w:spacing w:before="200"/>
      </w:pPr>
      <w:r>
        <w:t>Existing legal surfaces</w:t>
      </w:r>
    </w:p>
    <w:p>
      <w:pPr>
        <w:pStyle w:val="ListBullet"/>
      </w:pPr>
      <w:r>
        <w:t xml:space="preserve">Placeholder indemnification: </w:t>
      </w:r>
      <w:hyperlink r:id="rId30">
        <w:r>
          <w:rPr>
            <w:color w:val="0563C1"/>
            <w:u w:val="single"/>
          </w:rPr>
          <w:t xml:space="preserve">https://birthright.live/legal/indemnification</w:t>
        </w:r>
      </w:hyperlink>
    </w:p>
    <w:p>
      <w:pPr>
        <w:pStyle w:val="ListBullet"/>
      </w:pPr>
      <w:r>
        <w:t xml:space="preserve">Agreement acceptance flow: </w:t>
      </w:r>
      <w:hyperlink r:id="rId51">
        <w:r>
          <w:rPr>
            <w:color w:val="0563C1"/>
            <w:u w:val="single"/>
          </w:rPr>
          <w:t xml:space="preserve">https://birthright.live/legal/agreement</w:t>
        </w:r>
      </w:hyperlink>
    </w:p>
    <w:p>
      <w:pPr>
        <w:pStyle w:val="Heading3"/>
        <w:spacing w:before="200"/>
      </w:pPr>
      <w:r>
        <w:t>Member experience (requires account)</w:t>
      </w:r>
    </w:p>
    <w:p>
      <w:pPr>
        <w:pStyle w:val="ListBullet"/>
      </w:pPr>
      <w:r>
        <w:t xml:space="preserve">Register: </w:t>
      </w:r>
      <w:hyperlink r:id="rId29">
        <w:r>
          <w:rPr>
            <w:color w:val="0563C1"/>
            <w:u w:val="single"/>
          </w:rPr>
          <w:t xml:space="preserve">https://birthright.live/register</w:t>
        </w:r>
      </w:hyperlink>
    </w:p>
    <w:p>
      <w:pPr>
        <w:pStyle w:val="ListBullet"/>
      </w:pPr>
      <w:r>
        <w:t xml:space="preserve">Dashboard: </w:t>
      </w:r>
      <w:hyperlink r:id="rId52">
        <w:r>
          <w:rPr>
            <w:color w:val="0563C1"/>
            <w:u w:val="single"/>
          </w:rPr>
          <w:t xml:space="preserve">https://birthright.live/dashboard</w:t>
        </w:r>
      </w:hyperlink>
    </w:p>
    <w:p>
      <w:pPr>
        <w:pStyle w:val="ListBullet"/>
      </w:pPr>
      <w:r>
        <w:t xml:space="preserve">AI wallet: </w:t>
      </w:r>
      <w:hyperlink r:id="rId22">
        <w:r>
          <w:rPr>
            <w:color w:val="0563C1"/>
            <w:u w:val="single"/>
          </w:rPr>
          <w:t xml:space="preserve">https://birthright.live/dashboard/ai-wallet</w:t>
        </w:r>
      </w:hyperlink>
    </w:p>
    <w:p>
      <w:pPr>
        <w:pStyle w:val="ListBullet"/>
      </w:pPr>
      <w:r>
        <w:t xml:space="preserve">Messages: </w:t>
      </w:r>
      <w:hyperlink r:id="rId43">
        <w:r>
          <w:rPr>
            <w:color w:val="0563C1"/>
            <w:u w:val="single"/>
          </w:rPr>
          <w:t xml:space="preserve">https://birthright.live/dashboard/messages</w:t>
        </w:r>
      </w:hyperlink>
    </w:p>
    <w:p>
      <w:pPr>
        <w:pStyle w:val="ListBullet"/>
      </w:pPr>
      <w:r>
        <w:t xml:space="preserve">Disputes: </w:t>
      </w:r>
      <w:hyperlink r:id="rId40">
        <w:r>
          <w:rPr>
            <w:color w:val="0563C1"/>
            <w:u w:val="single"/>
          </w:rPr>
          <w:t xml:space="preserve">https://birthright.live/dashboard/disputes</w:t>
        </w:r>
      </w:hyperlink>
    </w:p>
    <w:p>
      <w:pPr>
        <w:pStyle w:val="ListBullet"/>
      </w:pPr>
      <w:r>
        <w:t xml:space="preserve">Bookmarks: </w:t>
      </w:r>
      <w:hyperlink r:id="rId53">
        <w:r>
          <w:rPr>
            <w:color w:val="0563C1"/>
            <w:u w:val="single"/>
          </w:rPr>
          <w:t xml:space="preserve">https://birthright.live/dashboard/bookmarks</w:t>
        </w:r>
      </w:hyperlink>
    </w:p>
    <w:p>
      <w:pPr>
        <w:pStyle w:val="Heading3"/>
        <w:spacing w:before="200"/>
      </w:pPr>
      <w:r>
        <w:t>Partner surfaces (requires partner account)</w:t>
      </w:r>
    </w:p>
    <w:p>
      <w:pPr>
        <w:pStyle w:val="ListBullet"/>
      </w:pPr>
      <w:r>
        <w:t xml:space="preserve">Partner dashboard: </w:t>
      </w:r>
      <w:hyperlink r:id="rId39">
        <w:r>
          <w:rPr>
            <w:color w:val="0563C1"/>
            <w:u w:val="single"/>
          </w:rPr>
          <w:t xml:space="preserve">https://birthright.live/dashboard/partner</w:t>
        </w:r>
      </w:hyperlink>
    </w:p>
    <w:p>
      <w:pPr>
        <w:pStyle w:val="ListBullet"/>
      </w:pPr>
      <w:r>
        <w:t xml:space="preserve">Payouts: </w:t>
      </w:r>
      <w:hyperlink r:id="rId25">
        <w:r>
          <w:rPr>
            <w:color w:val="0563C1"/>
            <w:u w:val="single"/>
          </w:rPr>
          <w:t xml:space="preserve">https://birthright.live/dashboard/partner/payouts</w:t>
        </w:r>
      </w:hyperlink>
    </w:p>
    <w:p>
      <w:pPr>
        <w:pStyle w:val="ListBullet"/>
      </w:pPr>
      <w:r>
        <w:t xml:space="preserve">Featured slot purchase: </w:t>
      </w:r>
      <w:hyperlink r:id="rId21">
        <w:r>
          <w:rPr>
            <w:color w:val="0563C1"/>
            <w:u w:val="single"/>
          </w:rPr>
          <w:t xml:space="preserve">https://birthright.live/dashboard/partner/featured</w:t>
        </w:r>
      </w:hyperlink>
    </w:p>
    <w:p>
      <w:pPr>
        <w:pStyle w:val="ListBullet"/>
      </w:pPr>
      <w:r>
        <w:t xml:space="preserve">Vendor product catalog: </w:t>
      </w:r>
      <w:hyperlink r:id="rId54">
        <w:r>
          <w:rPr>
            <w:color w:val="0563C1"/>
            <w:u w:val="single"/>
          </w:rPr>
          <w:t xml:space="preserve">https://birthright.live/dashboard/vendor/products</w:t>
        </w:r>
      </w:hyperlink>
    </w:p>
    <w:p>
      <w:pPr>
        <w:pStyle w:val="ListBullet"/>
      </w:pPr>
      <w:r>
        <w:t xml:space="preserve">Sales reports: </w:t>
      </w:r>
      <w:hyperlink r:id="rId55">
        <w:r>
          <w:rPr>
            <w:color w:val="0563C1"/>
            <w:u w:val="single"/>
          </w:rPr>
          <w:t xml:space="preserve">https://birthright.live/dashboard/partner/sales-reports</w:t>
        </w:r>
      </w:hyperlink>
    </w:p>
    <w:p>
      <w:pPr>
        <w:pStyle w:val="Heading3"/>
        <w:spacing w:before="200"/>
      </w:pPr>
      <w:r>
        <w:t>Admin (requires admin account — engineering can provision read-only counsel access on request)</w:t>
      </w:r>
    </w:p>
    <w:p>
      <w:pPr>
        <w:pStyle w:val="ListBullet"/>
      </w:pPr>
      <w:r>
        <w:t xml:space="preserve">Admin hub: </w:t>
      </w:r>
      <w:hyperlink r:id="rId56">
        <w:r>
          <w:rPr>
            <w:color w:val="0563C1"/>
            <w:u w:val="single"/>
          </w:rPr>
          <w:t xml:space="preserve">https://birthright.live/admin</w:t>
        </w:r>
      </w:hyperlink>
    </w:p>
    <w:p>
      <w:pPr>
        <w:pStyle w:val="ListBullet"/>
      </w:pPr>
      <w:r>
        <w:t xml:space="preserve">Users: </w:t>
      </w:r>
      <w:hyperlink r:id="rId57">
        <w:r>
          <w:rPr>
            <w:color w:val="0563C1"/>
            <w:u w:val="single"/>
          </w:rPr>
          <w:t xml:space="preserve">https://birthright.live/admin/users</w:t>
        </w:r>
      </w:hyperlink>
    </w:p>
    <w:p>
      <w:pPr>
        <w:pStyle w:val="ListBullet"/>
      </w:pPr>
      <w:r>
        <w:t xml:space="preserve">Products: </w:t>
      </w:r>
      <w:hyperlink r:id="rId58">
        <w:r>
          <w:rPr>
            <w:color w:val="0563C1"/>
            <w:u w:val="single"/>
          </w:rPr>
          <w:t xml:space="preserve">https://birthright.live/admin/products</w:t>
        </w:r>
      </w:hyperlink>
    </w:p>
    <w:p>
      <w:pPr>
        <w:pStyle w:val="ListBullet"/>
      </w:pPr>
      <w:r>
        <w:t xml:space="preserve">Partners: </w:t>
      </w:r>
      <w:hyperlink r:id="rId59">
        <w:r>
          <w:rPr>
            <w:color w:val="0563C1"/>
            <w:u w:val="single"/>
          </w:rPr>
          <w:t xml:space="preserve">https://birthright.live/admin/partners</w:t>
        </w:r>
      </w:hyperlink>
    </w:p>
    <w:p>
      <w:pPr>
        <w:pStyle w:val="ListBullet"/>
      </w:pPr>
      <w:r>
        <w:t xml:space="preserve">Foundation roles: </w:t>
      </w:r>
      <w:hyperlink r:id="rId38">
        <w:r>
          <w:rPr>
            <w:color w:val="0563C1"/>
            <w:u w:val="single"/>
          </w:rPr>
          <w:t xml:space="preserve">https://birthright.live/admin/foundation-roles</w:t>
        </w:r>
      </w:hyperlink>
    </w:p>
    <w:p>
      <w:pPr>
        <w:pStyle w:val="ListBullet"/>
      </w:pPr>
      <w:r>
        <w:t xml:space="preserve">Foundation applications: </w:t>
      </w:r>
      <w:hyperlink r:id="rId24">
        <w:r>
          <w:rPr>
            <w:color w:val="0563C1"/>
            <w:u w:val="single"/>
          </w:rPr>
          <w:t xml:space="preserve">https://birthright.live/admin/foundation-applications</w:t>
        </w:r>
      </w:hyperlink>
    </w:p>
    <w:p>
      <w:pPr>
        <w:pStyle w:val="ListBullet"/>
      </w:pPr>
      <w:r>
        <w:t xml:space="preserve">Ombudsman queue: </w:t>
      </w:r>
      <w:hyperlink r:id="rId33">
        <w:r>
          <w:rPr>
            <w:color w:val="0563C1"/>
            <w:u w:val="single"/>
          </w:rPr>
          <w:t xml:space="preserve">https://birthright.live/admin/ombudsman</w:t>
        </w:r>
      </w:hyperlink>
    </w:p>
    <w:p>
      <w:pPr>
        <w:pStyle w:val="ListBullet"/>
      </w:pPr>
      <w:r>
        <w:t xml:space="preserve">Disputes: </w:t>
      </w:r>
      <w:hyperlink r:id="rId60">
        <w:r>
          <w:rPr>
            <w:color w:val="0563C1"/>
            <w:u w:val="single"/>
          </w:rPr>
          <w:t xml:space="preserve">https://birthright.live/admin/disputes/*</w:t>
        </w:r>
      </w:hyperlink>
    </w:p>
    <w:p>
      <w:pPr>
        <w:pStyle w:val="ListBullet"/>
      </w:pPr>
      <w:r>
        <w:t xml:space="preserve">Refunds: </w:t>
      </w:r>
      <w:hyperlink r:id="rId42">
        <w:r>
          <w:rPr>
            <w:color w:val="0563C1"/>
            <w:u w:val="single"/>
          </w:rPr>
          <w:t xml:space="preserve">https://birthright.live/admin/refunds</w:t>
        </w:r>
      </w:hyperlink>
    </w:p>
    <w:p>
      <w:pPr>
        <w:pStyle w:val="ListBullet"/>
      </w:pPr>
      <w:r>
        <w:t xml:space="preserve">Payouts: </w:t>
      </w:r>
      <w:hyperlink r:id="rId26">
        <w:r>
          <w:rPr>
            <w:color w:val="0563C1"/>
            <w:u w:val="single"/>
          </w:rPr>
          <w:t xml:space="preserve">https://birthright.live/admin/payouts</w:t>
        </w:r>
      </w:hyperlink>
    </w:p>
    <w:p>
      <w:pPr>
        <w:pStyle w:val="ListBullet"/>
      </w:pPr>
      <w:r>
        <w:t xml:space="preserve">Legal agreements manager: </w:t>
      </w:r>
      <w:hyperlink r:id="rId37">
        <w:r>
          <w:rPr>
            <w:color w:val="0563C1"/>
            <w:u w:val="single"/>
          </w:rPr>
          <w:t xml:space="preserve">https://birthright.live/admin/legal/agreements</w:t>
        </w:r>
      </w:hyperlink>
    </w:p>
    <w:p>
      <w:pPr>
        <w:pStyle w:val="ListBullet"/>
      </w:pPr>
      <w:r>
        <w:t xml:space="preserve">AI usage: </w:t>
      </w:r>
      <w:hyperlink r:id="rId61">
        <w:r>
          <w:rPr>
            <w:color w:val="0563C1"/>
            <w:u w:val="single"/>
          </w:rPr>
          <w:t xml:space="preserve">https://birthright.live/admin/ai-usage</w:t>
        </w:r>
      </w:hyperlink>
    </w:p>
    <w:p>
      <w:pPr>
        <w:pStyle w:val="ListBullet"/>
      </w:pPr>
      <w:r>
        <w:t xml:space="preserve">Reports: </w:t>
      </w:r>
      <w:hyperlink r:id="rId62">
        <w:r>
          <w:rPr>
            <w:color w:val="0563C1"/>
            <w:u w:val="single"/>
          </w:rPr>
          <w:t xml:space="preserve">https://birthright.live/admin/reports</w:t>
        </w:r>
      </w:hyperlink>
    </w:p>
    <w:p>
      <w:pPr>
        <w:pStyle w:val="Heading3"/>
        <w:spacing w:before="200"/>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63">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64">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65">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66">
        <w:r>
          <w:rPr>
            <w:color w:val="0563C1"/>
            <w:u w:val="single"/>
          </w:rPr>
          <w:t xml:space="preserve">/api/system-admin/emails</w:t>
        </w:r>
      </w:hyperlink>
      <w:r>
        <w:t xml:space="preserve"> (admin)</w:t>
      </w:r>
    </w:p>
    <w:p/>
    <w:p>
      <w:pPr>
        <w:pStyle w:val="Heading2"/>
        <w:spacing w:before="280"/>
      </w:pPr>
      <w:r>
        <w:t>12. Suggested Priority for Counsel Engagement</w:t>
      </w:r>
    </w:p>
    <w:p>
      <w:r>
        <w:t>Ordered by risk exposure today:</w:t>
      </w:r>
    </w:p>
    <w:p>
      <w:pPr>
        <w:pStyle w:val="ListNumber"/>
      </w:pPr>
      <w:hyperlink r:id="rId34">
        <w:r>
          <w:rPr>
            <w:color w:val="0563C1"/>
            <w:u w:val="single"/>
          </w:rPr>
          <w:t xml:space="preserve">Terms of Service + Privacy Policy</w:t>
        </w:r>
      </w:hyperlink>
      <w:r>
        <w:t xml:space="preserve"> — every purchase and account creation currently happens without a signed agreement. Highest immediate exposure.</w:t>
      </w:r>
    </w:p>
    <w:p>
      <w:pPr>
        <w:pStyle w:val="ListNumber"/>
      </w:pPr>
      <w:hyperlink r:id="rId34">
        <w:r>
          <w:rPr>
            <w:color w:val="0563C1"/>
            <w:u w:val="single"/>
          </w:rPr>
          <w:t xml:space="preserve">Entity formation + tax status</w:t>
        </w:r>
      </w:hyperlink>
      <w:r>
        <w:t xml:space="preserve"> — driving decision for everything else (donation deductibility, UBI, board indemnification).</w:t>
      </w:r>
    </w:p>
    <w:p>
      <w:pPr>
        <w:pStyle w:val="ListNumber"/>
      </w:pPr>
      <w:hyperlink r:id="rId34">
        <w:r>
          <w:rPr>
            <w:color w:val="0563C1"/>
            <w:u w:val="single"/>
          </w:rPr>
          <w:t xml:space="preserve">Real indemnification agreement text</w:t>
        </w:r>
      </w:hyperlink>
      <w:r>
        <w:t xml:space="preserve"> — the placeholder currently disclaims itself as "not legal advice."</w:t>
      </w:r>
    </w:p>
    <w:p>
      <w:pPr>
        <w:pStyle w:val="ListNumber"/>
      </w:pPr>
      <w:hyperlink r:id="rId34">
        <w:r>
          <w:rPr>
            <w:color w:val="0563C1"/>
            <w:u w:val="single"/>
          </w:rPr>
          <w:t xml:space="preserve">Facilitator + Artist + Vendor agreements</w:t>
        </w:r>
      </w:hyperlink>
      <w:r>
        <w:t xml:space="preserve"> — real money flows to third parties today with no written contract.</w:t>
      </w:r>
    </w:p>
    <w:p>
      <w:pPr>
        <w:pStyle w:val="ListNumber"/>
      </w:pPr>
      <w:hyperlink r:id="rId34">
        <w:r>
          <w:rPr>
            <w:color w:val="0563C1"/>
            <w:u w:val="single"/>
          </w:rPr>
          <w:t xml:space="preserve">Sales-tax nexus + charitable-solicitation registration analysis</w:t>
        </w:r>
      </w:hyperlink>
      <w:r>
        <w:t xml:space="preserve"> — state-by-state.</w:t>
      </w:r>
    </w:p>
    <w:p>
      <w:pPr>
        <w:pStyle w:val="ListNumber"/>
      </w:pPr>
      <w:hyperlink r:id="rId34">
        <w:r>
          <w:rPr>
            <w:color w:val="0563C1"/>
            <w:u w:val="single"/>
          </w:rPr>
          <w:t xml:space="preserve">Trademark filings</w:t>
        </w:r>
      </w:hyperlink>
      <w:r>
        <w:t xml:space="preserve"> for the birthright wordmark and flame logo.</w:t>
      </w:r>
    </w:p>
    <w:p>
      <w:pPr>
        <w:pStyle w:val="ListNumber"/>
      </w:pPr>
      <w:hyperlink r:id="rId34">
        <w:r>
          <w:rPr>
            <w:color w:val="0563C1"/>
            <w:u w:val="single"/>
          </w:rPr>
          <w:t xml:space="preserve">Board/Officer agreements + D&amp;O policy</w:t>
        </w:r>
      </w:hyperlink>
      <w:r>
        <w:t xml:space="preserve"> before recruiting real (non-sample) board members to replace the current placeholders.</w:t>
      </w:r>
    </w:p>
    <w:p>
      <w:pPr>
        <w:pStyle w:val="ListNumber"/>
      </w:pPr>
      <w:hyperlink r:id="rId34">
        <w:r>
          <w:rPr>
            <w:color w:val="0563C1"/>
            <w:u w:val="single"/>
          </w:rPr>
          <w:t xml:space="preserve">Data privacy framework</w:t>
        </w:r>
      </w:hyperlink>
      <w:r>
        <w:t xml:space="preserve"> (privacy policy, DPAs, DSAR workflow).</w:t>
      </w:r>
    </w:p>
    <w:p>
      <w:pPr>
        <w:pStyle w:val="ListNumber"/>
      </w:pPr>
      <w:hyperlink r:id="rId34">
        <w:r>
          <w:rPr>
            <w:color w:val="0563C1"/>
            <w:u w:val="single"/>
          </w:rPr>
          <w:t xml:space="preserve">Refund / community-standards / dispute-arbitration</w:t>
        </w:r>
      </w:hyperlink>
      <w:r>
        <w:t xml:space="preserve"> policies.</w:t>
      </w:r>
    </w:p>
    <w:p>
      <w:pPr>
        <w:pStyle w:val="ListNumber"/>
      </w:pPr>
      <w:hyperlink r:id="rId34">
        <w:r>
          <w:rPr>
            <w:color w:val="0563C1"/>
            <w:u w:val="single"/>
          </w:rPr>
          <w:t xml:space="preserve">AI transparency + IP posture</w:t>
        </w:r>
      </w:hyperlink>
      <w:r>
        <w:t xml:space="preserve"> on generated content.</w:t>
      </w:r>
    </w:p>
    <w:p/>
    <w:p>
      <w:pPr>
        <w:pStyle w:val="Heading2"/>
        <w:spacing w:before="280"/>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t>A read-only admin account on the production platform</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equip/" TargetMode="External"/><Relationship Id="rId12" Type="http://schemas.openxmlformats.org/officeDocument/2006/relationships/hyperlink" Target="https://birthright.live/gather" TargetMode="External"/><Relationship Id="rId13" Type="http://schemas.openxmlformats.org/officeDocument/2006/relationships/hyperlink" Target="https://birthright.live/workshops/" TargetMode="External"/><Relationship Id="rId14" Type="http://schemas.openxmlformats.org/officeDocument/2006/relationships/hyperlink" Target="https://birthright.live/sponsor" TargetMode="External"/><Relationship Id="rId15" Type="http://schemas.openxmlformats.org/officeDocument/2006/relationships/hyperlink" Target="https://birthright.live/support" TargetMode="External"/><Relationship Id="rId16" Type="http://schemas.openxmlformats.org/officeDocument/2006/relationships/hyperlink" Target="https://birthright.live/donate" TargetMode="External"/><Relationship Id="rId17" Type="http://schemas.openxmlformats.org/officeDocument/2006/relationships/hyperlink" Target="https://birthright.live/subscribe" TargetMode="External"/><Relationship Id="rId18" Type="http://schemas.openxmlformats.org/officeDocument/2006/relationships/hyperlink" Target="https://birthright.live/admin/subscriptions" TargetMode="External"/><Relationship Id="rId19" Type="http://schemas.openxmlformats.org/officeDocument/2006/relationships/hyperlink" Target="https://birthright.live/gallery" TargetMode="External"/><Relationship Id="rId20" Type="http://schemas.openxmlformats.org/officeDocument/2006/relationships/hyperlink" Target="https://birthright.live/gallery/artist/" TargetMode="External"/><Relationship Id="rId21" Type="http://schemas.openxmlformats.org/officeDocument/2006/relationships/hyperlink" Target="https://birthright.live/dashboard/partner/featured" TargetMode="External"/><Relationship Id="rId22" Type="http://schemas.openxmlformats.org/officeDocument/2006/relationships/hyperlink" Target="https://birthright.live/dashboard/ai-wallet" TargetMode="External"/><Relationship Id="rId23" Type="http://schemas.openxmlformats.org/officeDocument/2006/relationships/hyperlink" Target="https://birthright.live/join" TargetMode="External"/><Relationship Id="rId24" Type="http://schemas.openxmlformats.org/officeDocument/2006/relationships/hyperlink" Target="https://birthright.live/admin/foundation-applications" TargetMode="External"/><Relationship Id="rId25" Type="http://schemas.openxmlformats.org/officeDocument/2006/relationships/hyperlink" Target="https://birthright.live/dashboard/partner/payouts" TargetMode="External"/><Relationship Id="rId26" Type="http://schemas.openxmlformats.org/officeDocument/2006/relationships/hyperlink" Target="https://birthright.live/admin/payouts" TargetMode="External"/><Relationship Id="rId27" Type="http://schemas.openxmlformats.org/officeDocument/2006/relationships/hyperlink" Target="https://birthright.live/equip/founder-patch-*" TargetMode="External"/><Relationship Id="rId28" Type="http://schemas.openxmlformats.org/officeDocument/2006/relationships/hyperlink" Target="https://birthright.live/facilitators/" TargetMode="External"/><Relationship Id="rId29" Type="http://schemas.openxmlformats.org/officeDocument/2006/relationships/hyperlink" Target="https://birthright.live/register" TargetMode="External"/><Relationship Id="rId30" Type="http://schemas.openxmlformats.org/officeDocument/2006/relationships/hyperlink" Target="https://birthright.live/legal/indemnification" TargetMode="External"/><Relationship Id="rId31" Type="http://schemas.openxmlformats.org/officeDocument/2006/relationships/hyperlink" Target="https://birthright.live/partner/apply" TargetMode="External"/><Relationship Id="rId32" Type="http://schemas.openxmlformats.org/officeDocument/2006/relationships/hyperlink" Target="https://birthright.live/dashboard/vendor" TargetMode="External"/><Relationship Id="rId33" Type="http://schemas.openxmlformats.org/officeDocument/2006/relationships/hyperlink" Target="https://birthright.live/admin/ombudsman" TargetMode="External"/><Relationship Id="rId34" Type="http://schemas.openxmlformats.org/officeDocument/2006/relationships/hyperlink" Target="https://birthright.live/admin/legal-docs" TargetMode="External"/><Relationship Id="rId35" Type="http://schemas.openxmlformats.org/officeDocument/2006/relationships/hyperlink" Target="https://birthright.live/research" TargetMode="External"/><Relationship Id="rId36" Type="http://schemas.openxmlformats.org/officeDocument/2006/relationships/hyperlink" Target="https://birthright.live/backend/static/products/" TargetMode="External"/><Relationship Id="rId37" Type="http://schemas.openxmlformats.org/officeDocument/2006/relationships/hyperlink" Target="https://birthright.live/admin/legal/agreements" TargetMode="External"/><Relationship Id="rId38" Type="http://schemas.openxmlformats.org/officeDocument/2006/relationships/hyperlink" Target="https://birthright.live/admin/foundation-roles" TargetMode="External"/><Relationship Id="rId39" Type="http://schemas.openxmlformats.org/officeDocument/2006/relationships/hyperlink" Target="https://birthright.live/dashboard/partner" TargetMode="External"/><Relationship Id="rId40" Type="http://schemas.openxmlformats.org/officeDocument/2006/relationships/hyperlink" Target="https://birthright.live/dashboard/disputes" TargetMode="External"/><Relationship Id="rId41" Type="http://schemas.openxmlformats.org/officeDocument/2006/relationships/hyperlink" Target="https://birthright.live/admin/disputes/" TargetMode="External"/><Relationship Id="rId42" Type="http://schemas.openxmlformats.org/officeDocument/2006/relationships/hyperlink" Target="https://birthright.live/admin/refunds" TargetMode="External"/><Relationship Id="rId43" Type="http://schemas.openxmlformats.org/officeDocument/2006/relationships/hyperlink" Target="https://birthright.live/dashboard/messages" TargetMode="External"/><Relationship Id="rId44" Type="http://schemas.openxmlformats.org/officeDocument/2006/relationships/hyperlink" Target="https://birthright.live/community" TargetMode="External"/><Relationship Id="rId45" Type="http://schemas.openxmlformats.org/officeDocument/2006/relationships/hyperlink" Target="https://birthright.live/api/webhook/stripe" TargetMode="External"/><Relationship Id="rId46" Type="http://schemas.openxmlformats.org/officeDocument/2006/relationships/hyperlink" Target="https://birthright.live/" TargetMode="External"/><Relationship Id="rId47" Type="http://schemas.openxmlformats.org/officeDocument/2006/relationships/hyperlink" Target="https://birthright.live/collection/founder" TargetMode="External"/><Relationship Id="rId48" Type="http://schemas.openxmlformats.org/officeDocument/2006/relationships/hyperlink" Target="https://birthright.live/equip/founder-patch-04-bond-is-the-cure" TargetMode="External"/><Relationship Id="rId49" Type="http://schemas.openxmlformats.org/officeDocument/2006/relationships/hyperlink" Target="https://birthright.live/facilitators" TargetMode="External"/><Relationship Id="rId50" Type="http://schemas.openxmlformats.org/officeDocument/2006/relationships/hyperlink" Target="https://birthright.live/connect" TargetMode="External"/><Relationship Id="rId51" Type="http://schemas.openxmlformats.org/officeDocument/2006/relationships/hyperlink" Target="https://birthright.live/legal/agreement" TargetMode="External"/><Relationship Id="rId52" Type="http://schemas.openxmlformats.org/officeDocument/2006/relationships/hyperlink" Target="https://birthright.live/dashboard" TargetMode="External"/><Relationship Id="rId53" Type="http://schemas.openxmlformats.org/officeDocument/2006/relationships/hyperlink" Target="https://birthright.live/dashboard/bookmarks" TargetMode="External"/><Relationship Id="rId54" Type="http://schemas.openxmlformats.org/officeDocument/2006/relationships/hyperlink" Target="https://birthright.live/dashboard/vendor/products" TargetMode="External"/><Relationship Id="rId55" Type="http://schemas.openxmlformats.org/officeDocument/2006/relationships/hyperlink" Target="https://birthright.live/dashboard/partner/sales-reports" TargetMode="External"/><Relationship Id="rId56" Type="http://schemas.openxmlformats.org/officeDocument/2006/relationships/hyperlink" Target="https://birthright.live/admin" TargetMode="External"/><Relationship Id="rId57" Type="http://schemas.openxmlformats.org/officeDocument/2006/relationships/hyperlink" Target="https://birthright.live/admin/users" TargetMode="External"/><Relationship Id="rId58" Type="http://schemas.openxmlformats.org/officeDocument/2006/relationships/hyperlink" Target="https://birthright.live/admin/products" TargetMode="External"/><Relationship Id="rId59" Type="http://schemas.openxmlformats.org/officeDocument/2006/relationships/hyperlink" Target="https://birthright.live/admin/partners" TargetMode="External"/><Relationship Id="rId60" Type="http://schemas.openxmlformats.org/officeDocument/2006/relationships/hyperlink" Target="https://birthright.live/admin/disputes/*" TargetMode="External"/><Relationship Id="rId61" Type="http://schemas.openxmlformats.org/officeDocument/2006/relationships/hyperlink" Target="https://birthright.live/admin/ai-usage" TargetMode="External"/><Relationship Id="rId62" Type="http://schemas.openxmlformats.org/officeDocument/2006/relationships/hyperlink" Target="https://birthright.live/admin/reports" TargetMode="External"/><Relationship Id="rId63" Type="http://schemas.openxmlformats.org/officeDocument/2006/relationships/hyperlink" Target="https://birthright.live/api/legal/indemnification/active" TargetMode="External"/><Relationship Id="rId64" Type="http://schemas.openxmlformats.org/officeDocument/2006/relationships/hyperlink" Target="https://birthright.live/api/legal/indemnification/versions" TargetMode="External"/><Relationship Id="rId65" Type="http://schemas.openxmlformats.org/officeDocument/2006/relationships/hyperlink" Target="https://birthright.live/api/audit" TargetMode="External"/><Relationship Id="rId66"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