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Sliding-Scale &amp; Scholarship Terms</w:t>
      </w:r>
    </w:p>
    <w:p>
      <w:r>
        <w:rPr>
          <w:b/>
        </w:rPr>
        <w:t>Effective date:</w:t>
      </w:r>
      <w:r>
        <w:t xml:space="preserve"> February 2026.</w:t>
      </w:r>
    </w:p>
    <w:p>
      <w:r>
        <w:t>Birthright wants the work to be accessible. This page explains how</w:t>
      </w:r>
    </w:p>
    <w:p>
      <w:r>
        <w:t>sliding-scale pricing and scholarships work.</w:t>
      </w:r>
    </w:p>
    <w:p>
      <w:pPr>
        <w:pStyle w:val="Heading2"/>
      </w:pPr>
      <w:r>
        <w:t>1. Who It's For</w:t>
      </w:r>
    </w:p>
    <w:p>
      <w:r>
        <w:t>Anyone whose participation would be significantly limited by full</w:t>
      </w:r>
    </w:p>
    <w:p>
      <w:r>
        <w:t>price. We do not means-test; we trust you to self-assess.</w:t>
      </w:r>
    </w:p>
    <w:p>
      <w:pPr>
        <w:pStyle w:val="Heading2"/>
      </w:pPr>
      <w:r>
        <w:t>2. Sliding-Scale Tiers</w:t>
      </w:r>
    </w:p>
    <w:p>
      <w:r>
        <w:t>Where a workshop offers sliding scale, three prices appear at</w:t>
      </w:r>
    </w:p>
    <w:p>
      <w:r>
        <w:t>checkout:</w:t>
      </w:r>
    </w:p>
    <w:p>
      <w:pPr>
        <w:pStyle w:val="ListBullet"/>
      </w:pPr>
      <w:r>
        <w:rPr>
          <w:b/>
        </w:rPr>
        <w:t>Full price</w:t>
      </w:r>
      <w:r>
        <w:t xml:space="preserve"> — the number that keeps the work funded.</w:t>
      </w:r>
    </w:p>
    <w:p>
      <w:pPr>
        <w:pStyle w:val="ListBullet"/>
      </w:pPr>
      <w:r>
        <w:rPr>
          <w:b/>
        </w:rPr>
        <w:t>Community price</w:t>
      </w:r>
      <w:r>
        <w:t xml:space="preserve"> — a partial subsidy, appropriate if full price</w:t>
      </w:r>
    </w:p>
    <w:p>
      <w:r>
        <w:t>is a stretch but doable.</w:t>
      </w:r>
    </w:p>
    <w:p>
      <w:pPr>
        <w:pStyle w:val="ListBullet"/>
      </w:pPr>
      <w:r>
        <w:rPr>
          <w:b/>
        </w:rPr>
        <w:t>Access price</w:t>
      </w:r>
      <w:r>
        <w:t xml:space="preserve"> — a deep subsidy, appropriate if full price would</w:t>
      </w:r>
    </w:p>
    <w:p>
      <w:r>
        <w:t>prevent you from attending.</w:t>
      </w:r>
    </w:p>
    <w:p>
      <w:pPr>
        <w:pStyle w:val="Heading2"/>
      </w:pPr>
      <w:r>
        <w:t>3. Scholarships</w:t>
      </w:r>
    </w:p>
    <w:p>
      <w:r>
        <w:t>For high-need cases, apply for a full scholarship at the workshop</w:t>
      </w:r>
    </w:p>
    <w:p>
      <w:r>
        <w:t>listing page. Approvals are based on available funds and the</w:t>
      </w:r>
    </w:p>
    <w:p>
      <w:r>
        <w:t>applicant's stated need. There is no essay.</w:t>
      </w:r>
    </w:p>
    <w:p>
      <w:pPr>
        <w:pStyle w:val="Heading2"/>
      </w:pPr>
      <w:r>
        <w:t>4. Ethics</w:t>
      </w:r>
    </w:p>
    <w:p>
      <w:r>
        <w:t>Please choose honestly. Every access-price seat is funded by a</w:t>
      </w:r>
    </w:p>
    <w:p>
      <w:r>
        <w:t>full-price seat. If your situation improves, we welcome you to move</w:t>
      </w:r>
    </w:p>
    <w:p>
      <w:r>
        <w:t>up a tier next time.</w:t>
      </w:r>
    </w:p>
    <w:p>
      <w:pPr>
        <w:pStyle w:val="Heading2"/>
      </w:pPr>
      <w:r>
        <w:t>5. Refunds</w:t>
      </w:r>
    </w:p>
    <w:p>
      <w:r>
        <w:t>Sliding-scale purchases follow the standard</w:t>
      </w:r>
    </w:p>
    <w:p>
      <w:r>
        <w:t>[Refund &amp; Returns Policy](/legal/refunds). Scholarship seats are</w:t>
      </w:r>
    </w:p>
    <w:p>
      <w:r>
        <w:t>non-transferable and non-refundable but may be forfeited without</w:t>
      </w:r>
    </w:p>
    <w:p>
      <w:r>
        <w:t>penalty if you cannot attend and notify us at least 7 days in</w:t>
      </w:r>
    </w:p>
    <w:p>
      <w:r>
        <w:t>advance.</w:t>
      </w:r>
    </w:p>
    <w:p>
      <w:pPr>
        <w:pStyle w:val="Heading2"/>
      </w:pPr>
      <w:r>
        <w:t>6. Contact</w:t>
      </w:r>
    </w:p>
    <w:p>
      <w:r>
        <w:t>scholarships@birthright.live.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