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left="288"/>
      </w:pPr>
      <w:r>
        <w:rPr>
          <w:i/>
          <w:color w:val="7C5316"/>
        </w:rPr>
        <w:t>**FIRST DRAFT — PENDING COUNSEL RATIFICATION**</w:t>
      </w:r>
    </w:p>
    <w:p>
      <w:r>
        <w:t>&gt;</w:t>
      </w:r>
    </w:p>
    <w:p>
      <w:pPr>
        <w:ind w:left="288"/>
      </w:pPr>
      <w:r>
        <w:rPr>
          <w:i/>
          <w:color w:val="7C5316"/>
        </w:rPr>
        <w:t>This document is a first draft prepared for outside counsel review.</w:t>
      </w:r>
    </w:p>
    <w:p>
      <w:pPr>
        <w:ind w:left="288"/>
      </w:pPr>
      <w:r>
        <w:rPr>
          <w:i/>
          <w:color w:val="7C5316"/>
        </w:rPr>
        <w:t>It uses accepted standard language for its type and is intended to</w:t>
      </w:r>
    </w:p>
    <w:p>
      <w:pPr>
        <w:ind w:left="288"/>
      </w:pPr>
      <w:r>
        <w:rPr>
          <w:i/>
          <w:color w:val="7C5316"/>
        </w:rPr>
        <w:t>be published in this form after ratification. Until counsel signs</w:t>
      </w:r>
    </w:p>
    <w:p>
      <w:pPr>
        <w:ind w:left="288"/>
      </w:pPr>
      <w:r>
        <w:rPr>
          <w:i/>
          <w:color w:val="7C5316"/>
        </w:rPr>
        <w:t>off, treat any specific figure, warranty, or jurisdictional choice</w:t>
      </w:r>
    </w:p>
    <w:p>
      <w:pPr>
        <w:ind w:left="288"/>
      </w:pPr>
      <w:r>
        <w:rPr>
          <w:i/>
          <w:color w:val="7C5316"/>
        </w:rPr>
        <w:t>as tentative.</w:t>
      </w:r>
    </w:p>
    <w:p>
      <w:r>
        <w:t>&gt;</w:t>
      </w:r>
    </w:p>
    <w:p>
      <w:pPr>
        <w:ind w:left="288"/>
      </w:pPr>
      <w:r>
        <w:rPr>
          <w:i/>
          <w:color w:val="7C5316"/>
        </w:rPr>
        <w:t>Version: February 2026 · Birthright Foundation (birthright.live) ·</w:t>
      </w:r>
    </w:p>
    <w:p>
      <w:pPr>
        <w:ind w:left="288"/>
      </w:pPr>
      <w:r>
        <w:rPr>
          <w:i/>
          <w:color w:val="7C5316"/>
        </w:rPr>
        <w:t>Executive Director: James Reagan · Contact: legal@birthright.live</w:t>
      </w:r>
    </w:p>
    <w:p>
      <w:pPr>
        <w:pStyle w:val="Heading1"/>
      </w:pPr>
      <w:r>
        <w:t>Copyright Registration Strategy</w:t>
      </w:r>
    </w:p>
    <w:p>
      <w:r>
        <w:rPr>
          <w:b/>
        </w:rPr>
        <w:t>Effective date:</w:t>
      </w:r>
      <w:r>
        <w:t xml:space="preserve"> February 2026. Internal planning document.</w:t>
      </w:r>
    </w:p>
    <w:p>
      <w:pPr>
        <w:pStyle w:val="Heading2"/>
      </w:pPr>
      <w:r>
        <w:t>1. Assets to Register</w:t>
      </w:r>
    </w:p>
    <w:p>
      <w:pPr>
        <w:pStyle w:val="ListBullet"/>
      </w:pPr>
      <w:r>
        <w:rPr>
          <w:b/>
        </w:rPr>
        <w:t>Workshop curricula</w:t>
      </w:r>
      <w:r>
        <w:t xml:space="preserve"> — literary work; register per workshop.</w:t>
      </w:r>
    </w:p>
    <w:p>
      <w:pPr>
        <w:pStyle w:val="ListBullet"/>
      </w:pPr>
      <w:r>
        <w:rPr>
          <w:b/>
        </w:rPr>
        <w:t>Research articles</w:t>
      </w:r>
      <w:r>
        <w:t xml:space="preserve"> — quarterly batch registration.</w:t>
      </w:r>
    </w:p>
    <w:p>
      <w:pPr>
        <w:pStyle w:val="ListBullet"/>
      </w:pPr>
      <w:r>
        <w:rPr>
          <w:b/>
        </w:rPr>
        <w:t>Workshop video recordings</w:t>
      </w:r>
      <w:r>
        <w:t xml:space="preserve"> — audiovisual work.</w:t>
      </w:r>
    </w:p>
    <w:p>
      <w:pPr>
        <w:pStyle w:val="ListBullet"/>
      </w:pPr>
      <w:r>
        <w:rPr>
          <w:b/>
        </w:rPr>
        <w:t>Original photography</w:t>
      </w:r>
      <w:r>
        <w:t xml:space="preserve"> — annual group registration.</w:t>
      </w:r>
    </w:p>
    <w:p>
      <w:pPr>
        <w:pStyle w:val="Heading2"/>
      </w:pPr>
      <w:r>
        <w:t>2. Do Not Register</w:t>
      </w:r>
    </w:p>
    <w:p>
      <w:pPr>
        <w:pStyle w:val="ListBullet"/>
      </w:pPr>
      <w:r>
        <w:rPr>
          <w:b/>
        </w:rPr>
        <w:t>AI-generated imagery</w:t>
      </w:r>
      <w:r>
        <w:t xml:space="preserve"> — under current US Copyright Office</w:t>
      </w:r>
    </w:p>
    <w:p>
      <w:r>
        <w:t>guidance, works without significant human authorship are not</w:t>
      </w:r>
    </w:p>
    <w:p>
      <w:r>
        <w:t>copyrightable. Document human authorship (curation, prompting,</w:t>
      </w:r>
    </w:p>
    <w:p>
      <w:r>
        <w:t>compositing) if we ever attempt registration on a composite piece.</w:t>
      </w:r>
    </w:p>
    <w:p>
      <w:pPr>
        <w:pStyle w:val="Heading2"/>
      </w:pPr>
      <w:r>
        <w:t>3. Cadence</w:t>
      </w:r>
    </w:p>
    <w:p>
      <w:r>
        <w:t>Quarterly for articles and photos; per-work for curricula on</w:t>
      </w:r>
    </w:p>
    <w:p>
      <w:r>
        <w:t>completion.</w:t>
      </w:r>
    </w:p>
    <w:p>
      <w:pPr>
        <w:pStyle w:val="Heading2"/>
      </w:pPr>
      <w:r>
        <w:t>4. Notice</w:t>
      </w:r>
    </w:p>
    <w:p>
      <w:r>
        <w:t>Add "© Birthright Foundation [year]" to protected works.</w:t>
      </w:r>
    </w:p>
    <w:p>
      <w:pPr>
        <w:pStyle w:val="Heading2"/>
      </w:pPr>
      <w:r>
        <w:t>5. Assignments</w:t>
      </w:r>
    </w:p>
    <w:p>
      <w:r>
        <w:t>Each contributor (facilitator, writer, videographer, photographer)</w:t>
      </w:r>
    </w:p>
    <w:p>
      <w:r>
        <w:t>signs a written work-for-hire clause or an IP assignment before</w:t>
      </w:r>
    </w:p>
    <w:p>
      <w:r>
        <w:t>work is publicly released.</w:t>
      </w:r>
    </w:p>
    <w:p/>
    <w:p>
      <w:r>
        <w:t>*First draft — pending counsel ratification. Comments to</w:t>
      </w:r>
    </w:p>
    <w:p>
      <w:r>
        <w:t>legal@birthright.live.*</w:t>
      </w:r>
    </w:p>
    <w:p/>
    <w:p>
      <w:pPr>
        <w:pStyle w:val="Heading2"/>
      </w:pPr>
      <w:r>
        <w:t>EU / UK Compliance Addendum</w:t>
      </w:r>
    </w:p>
    <w:p>
      <w:r>
        <w:t>This document was drafted with EU / UK regulatory alignment in mind. Where</w:t>
      </w:r>
    </w:p>
    <w:p>
      <w:r>
        <w:t>this document conflicts with mandatory rights of an EU or UK resident, the</w:t>
      </w:r>
    </w:p>
    <w:p>
      <w:r>
        <w:t>mandatory local rules prevail. In particular:</w:t>
      </w:r>
    </w:p>
    <w:p>
      <w:pPr>
        <w:pStyle w:val="ListBullet"/>
      </w:pPr>
      <w:r>
        <w:rPr>
          <w:b/>
        </w:rPr>
        <w:t>GDPR (EU) 2016/679 and UK GDPR</w:t>
      </w:r>
      <w:r>
        <w:t xml:space="preserve"> apply to processing of personal data</w:t>
      </w:r>
    </w:p>
    <w:p>
      <w:r>
        <w:t>of individuals in the EEA and UK. Where Birthright is the controller,</w:t>
      </w:r>
    </w:p>
    <w:p>
      <w:r>
        <w:t>the lawful bases relied on are: (i) contract necessity, (ii) legitimate</w:t>
      </w:r>
    </w:p>
    <w:p>
      <w:r>
        <w:t>interests (balanced by opt-out), (iii) consent (marketing and non-</w:t>
      </w:r>
    </w:p>
    <w:p>
      <w:r>
        <w:t>essential cookies), and (iv) legal obligation.</w:t>
      </w:r>
    </w:p>
    <w:p>
      <w:pPr>
        <w:pStyle w:val="ListBullet"/>
      </w:pPr>
      <w:r>
        <w:rPr>
          <w:b/>
        </w:rPr>
        <w:t>ePrivacy Directive (2002/58/EC as amended)</w:t>
      </w:r>
      <w:r>
        <w:t xml:space="preserve"> applies to cookies and</w:t>
      </w:r>
    </w:p>
    <w:p>
      <w:r>
        <w:t>similar tracking. Non-essential cookies require prior opt-in consent.</w:t>
      </w:r>
    </w:p>
    <w:p>
      <w:pPr>
        <w:pStyle w:val="ListBullet"/>
      </w:pPr>
      <w:r>
        <w:rPr>
          <w:b/>
        </w:rPr>
        <w:t>EU Consumer Rights Directive (2011/83/EU)</w:t>
      </w:r>
      <w:r>
        <w:t xml:space="preserve"> — EU/UK consumers have</w:t>
      </w:r>
    </w:p>
    <w:p>
      <w:r>
        <w:t>a 14-day right of withdrawal on distance sales of goods and most</w:t>
      </w:r>
    </w:p>
    <w:p>
      <w:r>
        <w:t>digital services. Where a workshop or digital product has been fully</w:t>
      </w:r>
    </w:p>
    <w:p>
      <w:r>
        <w:t>performed with the consumer's prior consent, the right may be lost.</w:t>
      </w:r>
    </w:p>
    <w:p>
      <w:pPr>
        <w:pStyle w:val="ListBullet"/>
      </w:pPr>
      <w:r>
        <w:rPr>
          <w:b/>
        </w:rPr>
        <w:t>Digital Services Act (Regulation 2022/2065)</w:t>
      </w:r>
      <w:r>
        <w:t xml:space="preserve"> applies to online</w:t>
      </w:r>
    </w:p>
    <w:p>
      <w:r>
        <w:t>intermediaries offering services in the EU; Birthright's community</w:t>
      </w:r>
    </w:p>
    <w:p>
      <w:r>
        <w:t>features (posts, DMs, disputes) fall within scope. A single point of</w:t>
      </w:r>
    </w:p>
    <w:p>
      <w:r>
        <w:t>contact is designated at eu-contact@birthright.live.</w:t>
      </w:r>
    </w:p>
    <w:p>
      <w:pPr>
        <w:pStyle w:val="ListBullet"/>
      </w:pPr>
      <w:r>
        <w:rPr>
          <w:b/>
        </w:rPr>
        <w:t>EU AI Act (Regulation 2024/1689)</w:t>
      </w:r>
      <w:r>
        <w:t xml:space="preserve"> applies to providers and deployers</w:t>
      </w:r>
    </w:p>
    <w:p>
      <w:r>
        <w:t>of AI systems affecting EU users. Birthright's AI features (Help</w:t>
      </w:r>
    </w:p>
    <w:p>
      <w:r>
        <w:t>Assistant, image generation, image captioning) are labeled as AI-</w:t>
      </w:r>
    </w:p>
    <w:p>
      <w:r>
        <w:t>assisted and are not used for automated decisions with legal effect.</w:t>
      </w:r>
    </w:p>
    <w:p>
      <w:pPr>
        <w:pStyle w:val="ListBullet"/>
      </w:pPr>
      <w:r>
        <w:rPr>
          <w:b/>
        </w:rPr>
        <w:t>Data transfers out of the EEA/UK/CH</w:t>
      </w:r>
      <w:r>
        <w:t xml:space="preserve"> rely on the EU Standard</w:t>
      </w:r>
    </w:p>
    <w:p>
      <w:r>
        <w:t>Contractual Clauses (2021/914) and the UK International Data Transfer</w:t>
      </w:r>
    </w:p>
    <w:p>
      <w:r>
        <w:t>Addendum, with a transfer-impact assessment on file for each sub-</w:t>
      </w:r>
    </w:p>
    <w:p>
      <w:r>
        <w:t>processor.</w:t>
      </w:r>
    </w:p>
    <w:p>
      <w:pPr>
        <w:pStyle w:val="ListBullet"/>
      </w:pPr>
      <w:r>
        <w:rPr>
          <w:b/>
        </w:rPr>
        <w:t>Data Protection Officer (DPO)</w:t>
      </w:r>
      <w:r>
        <w:t xml:space="preserve"> — Birthright will designate a DPO</w:t>
      </w:r>
    </w:p>
    <w:p>
      <w:r>
        <w:t>once threshold criteria under GDPR Art. 37 are met. Contact:</w:t>
      </w:r>
    </w:p>
    <w:p>
      <w:r>
        <w:t>dpo@birthright.live.</w:t>
      </w:r>
    </w:p>
    <w:p>
      <w:pPr>
        <w:pStyle w:val="ListBullet"/>
      </w:pPr>
      <w:r>
        <w:rPr>
          <w:b/>
        </w:rPr>
        <w:t>DSAR window</w:t>
      </w:r>
      <w:r>
        <w:t xml:space="preserve"> — subject access, rectification, erasure, portability,</w:t>
      </w:r>
    </w:p>
    <w:p>
      <w:r>
        <w:t xml:space="preserve">and objection requests are responded to within </w:t>
      </w:r>
      <w:r>
        <w:rPr>
          <w:b/>
        </w:rPr>
        <w:t>30 days</w:t>
      </w:r>
      <w:r>
        <w:t xml:space="preserve"> (extendable</w:t>
      </w:r>
    </w:p>
    <w:p>
      <w:r>
        <w:t>by 60 days for complex requests) at privacy@birthright.live.</w:t>
      </w:r>
    </w:p>
    <w:p>
      <w:pPr>
        <w:pStyle w:val="ListBullet"/>
      </w:pPr>
      <w:r>
        <w:rPr>
          <w:b/>
        </w:rPr>
        <w:t>Supervisory authority</w:t>
      </w:r>
      <w:r>
        <w:t xml:space="preserve"> — EU/UK residents may lodge a complaint with</w:t>
      </w:r>
    </w:p>
    <w:p>
      <w:r>
        <w:t>their local supervisory authority; a list is available at</w:t>
      </w:r>
    </w:p>
    <w:p>
      <w:hyperlink r:id="rId9">
        <w:r>
          <w:rPr>
            <w:color w:val="0563C1"/>
            <w:u w:val="single"/>
          </w:rPr>
          <w:t xml:space="preserve">https://edpb.europa.eu/about-edpb/about-edpb/members_en</w:t>
        </w:r>
      </w:hyperlink>
      <w:r>
        <w:t xml:space="preserve"> (EU) and</w:t>
      </w:r>
    </w:p>
    <w:p>
      <w:hyperlink r:id="rId10">
        <w:r>
          <w:rPr>
            <w:color w:val="0563C1"/>
            <w:u w:val="single"/>
          </w:rPr>
          <w:t xml:space="preserve">https://ico.org.uk</w:t>
        </w:r>
      </w:hyperlink>
      <w:r>
        <w:t xml:space="preserve"> (UK).</w:t>
      </w:r>
    </w:p>
    <w:p>
      <w:pPr>
        <w:pStyle w:val="ListBullet"/>
      </w:pPr>
      <w:r>
        <w:rPr>
          <w:b/>
        </w:rPr>
        <w:t>VAT</w:t>
      </w:r>
      <w:r>
        <w:t xml:space="preserve"> — Where Birthright's EU B2C digital-service or goods sales</w:t>
      </w:r>
    </w:p>
    <w:p>
      <w:r>
        <w:t>cross applicable thresholds, VAT registration (One-Stop-Shop or</w:t>
      </w:r>
    </w:p>
    <w:p>
      <w:r>
        <w:t>country-by-country) will be completed.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edpb.europa.eu/about-edpb/about-edpb/members_en" TargetMode="External"/><Relationship Id="rId10" Type="http://schemas.openxmlformats.org/officeDocument/2006/relationships/hyperlink" Target="https://ico.org.u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