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Data Processing Agreement (Template)</w:t>
      </w:r>
    </w:p>
    <w:p>
      <w:r>
        <w:rPr>
          <w:b/>
        </w:rPr>
        <w:t>Parties:</w:t>
      </w:r>
      <w:r>
        <w:t xml:space="preserve"> Birthright Foundation ("Controller") and the vendor</w:t>
      </w:r>
    </w:p>
    <w:p>
      <w:r>
        <w:t>identified below ("Processor"). This template implements GDPR Art.</w:t>
      </w:r>
    </w:p>
    <w:p>
      <w:r>
        <w:t>28 and equivalent US-state requirements.</w:t>
      </w:r>
    </w:p>
    <w:p>
      <w:pPr>
        <w:pStyle w:val="Heading2"/>
      </w:pPr>
      <w:r>
        <w:t>1. Definitions</w:t>
      </w:r>
    </w:p>
    <w:p>
      <w:r>
        <w:t>Terms have the meanings in GDPR (EU) 2016/679, UK GDPR, and the</w:t>
      </w:r>
    </w:p>
    <w:p>
      <w:r>
        <w:t>CCPA/CPRA, as applicable.</w:t>
      </w:r>
    </w:p>
    <w:p>
      <w:pPr>
        <w:pStyle w:val="Heading2"/>
      </w:pPr>
      <w:r>
        <w:t>2. Scope of Processing</w:t>
      </w:r>
    </w:p>
    <w:p>
      <w:r>
        <w:t>Processor will process Personal Data only on Controller's documented</w:t>
      </w:r>
    </w:p>
    <w:p>
      <w:r>
        <w:t>instructions and only for the purposes described in the underlying</w:t>
      </w:r>
    </w:p>
    <w:p>
      <w:r>
        <w:t>service agreement.</w:t>
      </w:r>
    </w:p>
    <w:p>
      <w:pPr>
        <w:pStyle w:val="Heading2"/>
      </w:pPr>
      <w:r>
        <w:t>3. Sub-processors</w:t>
      </w:r>
    </w:p>
    <w:p>
      <w:r>
        <w:t>Processor will maintain a list of sub-processors and notify</w:t>
      </w:r>
    </w:p>
    <w:p>
      <w:r>
        <w:t>Controller of changes with a right to object. Sub-processors are</w:t>
      </w:r>
    </w:p>
    <w:p>
      <w:r>
        <w:t>bound by written terms no less protective than this DPA.</w:t>
      </w:r>
    </w:p>
    <w:p>
      <w:pPr>
        <w:pStyle w:val="Heading2"/>
      </w:pPr>
      <w:r>
        <w:t>4. Security</w:t>
      </w:r>
    </w:p>
    <w:p>
      <w:r>
        <w:t>Processor implements the technical and organisational measures set</w:t>
      </w:r>
    </w:p>
    <w:p>
      <w:r>
        <w:t>out in Annex 2 (TLS in transit, encryption at rest for sensitive</w:t>
      </w:r>
    </w:p>
    <w:p>
      <w:r>
        <w:t>data, access controls, audit logging, staff confidentiality,</w:t>
      </w:r>
    </w:p>
    <w:p>
      <w:r>
        <w:t>vulnerability management, incident response).</w:t>
      </w:r>
    </w:p>
    <w:p>
      <w:pPr>
        <w:pStyle w:val="Heading2"/>
      </w:pPr>
      <w:r>
        <w:t>5. Personal Data Breach</w:t>
      </w:r>
    </w:p>
    <w:p>
      <w:r>
        <w:t>Processor will notify Controller of a Personal Data breach without</w:t>
      </w:r>
    </w:p>
    <w:p>
      <w:r>
        <w:t>undue delay and no later than 48 hours after becoming aware.</w:t>
      </w:r>
    </w:p>
    <w:p>
      <w:pPr>
        <w:pStyle w:val="Heading2"/>
      </w:pPr>
      <w:r>
        <w:t>6. Data-Subject Requests</w:t>
      </w:r>
    </w:p>
    <w:p>
      <w:r>
        <w:t>Processor will assist Controller with data-subject requests (access,</w:t>
      </w:r>
    </w:p>
    <w:p>
      <w:r>
        <w:t>correction, deletion, portability, objection) at no extra cost.</w:t>
      </w:r>
    </w:p>
    <w:p>
      <w:pPr>
        <w:pStyle w:val="Heading2"/>
      </w:pPr>
      <w:r>
        <w:t>7. International Transfers</w:t>
      </w:r>
    </w:p>
    <w:p>
      <w:r>
        <w:t>Where personal data is transferred outside the EEA or UK, the</w:t>
      </w:r>
    </w:p>
    <w:p>
      <w:r>
        <w:t>parties enter into the EU Standard Contractual Clauses (2021/914)</w:t>
      </w:r>
    </w:p>
    <w:p>
      <w:r>
        <w:t>and the UK IDTA, and complete a transfer-impact assessment.</w:t>
      </w:r>
    </w:p>
    <w:p>
      <w:pPr>
        <w:pStyle w:val="Heading2"/>
      </w:pPr>
      <w:r>
        <w:t>8. Audit</w:t>
      </w:r>
    </w:p>
    <w:p>
      <w:r>
        <w:t>Once per year, Controller may audit Processor's compliance on 30</w:t>
      </w:r>
    </w:p>
    <w:p>
      <w:r>
        <w:t>days' notice, or accept a recent SOC 2 / ISO 27001 report.</w:t>
      </w:r>
    </w:p>
    <w:p>
      <w:pPr>
        <w:pStyle w:val="Heading2"/>
      </w:pPr>
      <w:r>
        <w:t>9. Return / Deletion</w:t>
      </w:r>
    </w:p>
    <w:p>
      <w:r>
        <w:t>On termination, Processor returns or deletes Personal Data at</w:t>
      </w:r>
    </w:p>
    <w:p>
      <w:r>
        <w:t>Controller's option, unless retention is required by law.</w:t>
      </w:r>
    </w:p>
    <w:p>
      <w:pPr>
        <w:pStyle w:val="Heading2"/>
      </w:pPr>
      <w:r>
        <w:t>10. Liability</w:t>
      </w:r>
    </w:p>
    <w:p>
      <w:r>
        <w:t>Liability for breach of this DPA follows the underlying service</w:t>
      </w:r>
    </w:p>
    <w:p>
      <w:r>
        <w:t>agreement's limitation-of-liability terms, except that neither</w:t>
      </w:r>
    </w:p>
    <w:p>
      <w:r>
        <w:t>party may exclude liability for wilful misconduct or breach of</w:t>
      </w:r>
    </w:p>
    <w:p>
      <w:r>
        <w:t>data-protection law where such exclusion is prohibited.</w:t>
      </w:r>
    </w:p>
    <w:p>
      <w:pPr>
        <w:pStyle w:val="Heading2"/>
      </w:pPr>
      <w:r>
        <w:t>11. Governing Law</w:t>
      </w:r>
    </w:p>
    <w:p>
      <w:r>
        <w:t>As in the underlying service agreement.</w:t>
      </w:r>
    </w:p>
    <w:p>
      <w:pPr>
        <w:pStyle w:val="Heading3"/>
      </w:pPr>
      <w:r>
        <w:t>Annex 1 — Description of Processing</w:t>
      </w:r>
    </w:p>
    <w:p>
      <w:r>
        <w:t>(To be completed per Processor: categories of data subjects,</w:t>
      </w:r>
    </w:p>
    <w:p>
      <w:r>
        <w:t>categories of data, purpose, retention.)</w:t>
      </w:r>
    </w:p>
    <w:p>
      <w:pPr>
        <w:pStyle w:val="Heading3"/>
      </w:pPr>
      <w:r>
        <w:t>Annex 2 — Security Measures</w:t>
      </w:r>
    </w:p>
    <w:p>
      <w:r>
        <w:t>(To be completed per Processor: encryption, access, backups,</w:t>
      </w:r>
    </w:p>
    <w:p>
      <w:r>
        <w:t>incident response, staff training.)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