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288"/>
      </w:pPr>
      <w:r>
        <w:rPr>
          <w:i/>
          <w:color w:val="7C5316"/>
        </w:rPr>
        <w:t>⚠️ **AI-GENERATED FIRST DRAFT — NOT LEGAL ADVICE**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This document was generated by an AI assistant as a starting point for</w:t>
      </w:r>
    </w:p>
    <w:p>
      <w:pPr>
        <w:ind w:left="288"/>
      </w:pPr>
      <w:r>
        <w:rPr>
          <w:i/>
          <w:color w:val="7C5316"/>
        </w:rPr>
        <w:t>outside counsel. It is not legal advice, has not been reviewed by an</w:t>
      </w:r>
    </w:p>
    <w:p>
      <w:pPr>
        <w:ind w:left="288"/>
      </w:pPr>
      <w:r>
        <w:rPr>
          <w:i/>
          <w:color w:val="7C5316"/>
        </w:rPr>
        <w:t>attorney, and MUST NOT be published, executed, or relied upon in its</w:t>
      </w:r>
    </w:p>
    <w:p>
      <w:pPr>
        <w:ind w:left="288"/>
      </w:pPr>
      <w:r>
        <w:rPr>
          <w:i/>
          <w:color w:val="7C5316"/>
        </w:rPr>
        <w:t>current form. Counsel must review, revise, adapt to the entity form and</w:t>
      </w:r>
    </w:p>
    <w:p>
      <w:pPr>
        <w:ind w:left="288"/>
      </w:pPr>
      <w:r>
        <w:rPr>
          <w:i/>
          <w:color w:val="7C5316"/>
        </w:rPr>
        <w:t>state of incorporation, and ratify before any use.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Version: February 2026 · Generated for: Birthright Foundation</w:t>
      </w:r>
    </w:p>
    <w:p>
      <w:pPr>
        <w:ind w:left="288"/>
      </w:pPr>
      <w:r>
        <w:rPr>
          <w:i/>
          <w:color w:val="7C5316"/>
        </w:rPr>
        <w:t>(birthright.live) · Executive Director: James Reagan</w:t>
      </w:r>
    </w:p>
    <w:p>
      <w:pPr>
        <w:pStyle w:val="Heading1"/>
      </w:pPr>
      <w:r>
        <w:t>Facilitator Services Agreement + IP Assignment (Draft)</w:t>
      </w:r>
    </w:p>
    <w:p>
      <w:r>
        <w:t>This Agreement is entered into on the Effective Date between Birthright</w:t>
      </w:r>
    </w:p>
    <w:p>
      <w:r>
        <w:t>Foundation ("Birthright") and the individual named below ("Facilitator").</w:t>
      </w:r>
    </w:p>
    <w:p>
      <w:pPr>
        <w:pStyle w:val="Heading2"/>
      </w:pPr>
      <w:r>
        <w:t>1. Services</w:t>
      </w:r>
    </w:p>
    <w:p>
      <w:r>
        <w:t>Facilitator will design and lead workshops and related educational</w:t>
      </w:r>
    </w:p>
    <w:p>
      <w:r>
        <w:t>sessions ("Sessions") through the Birthright platform. Sessions may be</w:t>
      </w:r>
    </w:p>
    <w:p>
      <w:r>
        <w:t>live-facilitated, self-paced, or recorded.</w:t>
      </w:r>
    </w:p>
    <w:p>
      <w:pPr>
        <w:pStyle w:val="Heading2"/>
      </w:pPr>
      <w:r>
        <w:t>2. Compensation</w:t>
      </w:r>
    </w:p>
    <w:p>
      <w:pPr>
        <w:pStyle w:val="ListBullet"/>
      </w:pPr>
      <w:r>
        <w:t>Per-session fee: [$ AMOUNT] paid within 15 days of session close.</w:t>
      </w:r>
    </w:p>
    <w:p>
      <w:pPr>
        <w:pStyle w:val="ListBullet"/>
      </w:pPr>
      <w:r>
        <w:t>Revenue-share on paid registrations: [X%] of net registration revenue</w:t>
      </w:r>
    </w:p>
    <w:p>
      <w:r>
        <w:t>after payment-processor fees and applicable sliding-scale discounts.</w:t>
      </w:r>
    </w:p>
    <w:p>
      <w:pPr>
        <w:pStyle w:val="ListBullet"/>
      </w:pPr>
      <w:r>
        <w:t>Optional flat monthly retainer available for lead facilitators.</w:t>
      </w:r>
    </w:p>
    <w:p>
      <w:pPr>
        <w:pStyle w:val="Heading2"/>
      </w:pPr>
      <w:r>
        <w:t>3. Independent Contractor</w:t>
      </w:r>
    </w:p>
    <w:p>
      <w:r>
        <w:t>Facilitator is an independent contractor, not an employee. Facilitator is</w:t>
      </w:r>
    </w:p>
    <w:p>
      <w:r>
        <w:t>responsible for their own taxes and will complete Form W-9 (or W-8 for</w:t>
      </w:r>
    </w:p>
    <w:p>
      <w:r>
        <w:t>non-U.S. persons). Birthright will issue Form 1099-NEC where required.</w:t>
      </w:r>
    </w:p>
    <w:p>
      <w:pPr>
        <w:pStyle w:val="Heading2"/>
      </w:pPr>
      <w:r>
        <w:t>4. Intellectual Property</w:t>
      </w:r>
    </w:p>
    <w:p>
      <w:pPr>
        <w:pStyle w:val="ListBullet"/>
      </w:pPr>
      <w:r>
        <w:t>Facilitator retains ownership of pre-existing materials brought to</w:t>
      </w:r>
    </w:p>
    <w:p>
      <w:r>
        <w:t>Sessions and grants Birthright a perpetual, non-exclusive, royalty-free</w:t>
      </w:r>
    </w:p>
    <w:p>
      <w:r>
        <w:t>license to use them in connection with the Session and its recording.</w:t>
      </w:r>
    </w:p>
    <w:p>
      <w:pPr>
        <w:pStyle w:val="ListBullet"/>
      </w:pPr>
      <w:r>
        <w:t>All Session recordings, transcripts, workbooks, and derivative</w:t>
      </w:r>
    </w:p>
    <w:p>
      <w:r>
        <w:t>educational materials created for or during a Birthright Session are</w:t>
      </w:r>
    </w:p>
    <w:p>
      <w:r>
        <w:rPr>
          <w:b/>
        </w:rPr>
        <w:t>works made for hire</w:t>
      </w:r>
      <w:r>
        <w:t xml:space="preserve"> and, to the extent not works for hire, are</w:t>
      </w:r>
    </w:p>
    <w:p>
      <w:r>
        <w:t>hereby assigned to Birthright.</w:t>
      </w:r>
    </w:p>
    <w:p>
      <w:pPr>
        <w:pStyle w:val="ListBullet"/>
      </w:pPr>
      <w:r>
        <w:t>Facilitator's name, bio, and likeness may be used to promote the</w:t>
      </w:r>
    </w:p>
    <w:p>
      <w:r>
        <w:t>Session on the Services during the term and for one (1) year afterward.</w:t>
      </w:r>
    </w:p>
    <w:p>
      <w:pPr>
        <w:pStyle w:val="Heading2"/>
      </w:pPr>
      <w:r>
        <w:t>5. Standards of Practice</w:t>
      </w:r>
    </w:p>
    <w:p>
      <w:r>
        <w:t>Facilitator will (a) hold appropriate credentials if representing a</w:t>
      </w:r>
    </w:p>
    <w:p>
      <w:r>
        <w:t>regulated modality, (b) comply with the Content Moderation &amp; Community</w:t>
      </w:r>
    </w:p>
    <w:p>
      <w:r>
        <w:t>Standards Policy, (c) never provide clinical advice unless separately</w:t>
      </w:r>
    </w:p>
    <w:p>
      <w:r>
        <w:t>licensed and clearly acting outside the Birthright program, and (d) refer</w:t>
      </w:r>
    </w:p>
    <w:p>
      <w:r>
        <w:t>participants to emergency services if a safety concern arises.</w:t>
      </w:r>
    </w:p>
    <w:p>
      <w:pPr>
        <w:pStyle w:val="Heading2"/>
      </w:pPr>
      <w:r>
        <w:t>6. Confidentiality</w:t>
      </w:r>
    </w:p>
    <w:p>
      <w:r>
        <w:t>Facilitator will not disclose participant personal information outside the</w:t>
      </w:r>
    </w:p>
    <w:p>
      <w:r>
        <w:t>Session and will comply with the Privacy Policy.</w:t>
      </w:r>
    </w:p>
    <w:p>
      <w:pPr>
        <w:pStyle w:val="Heading2"/>
      </w:pPr>
      <w:r>
        <w:t>7. Term &amp; Termination</w:t>
      </w:r>
    </w:p>
    <w:p>
      <w:r>
        <w:t>Either party may terminate this Agreement upon 30 days' written notice.</w:t>
      </w:r>
    </w:p>
    <w:p>
      <w:r>
        <w:t>Birthright may terminate immediately for cause (material breach,</w:t>
      </w:r>
    </w:p>
    <w:p>
      <w:r>
        <w:t>misconduct, or safety risk).</w:t>
      </w:r>
    </w:p>
    <w:p>
      <w:pPr>
        <w:pStyle w:val="Heading2"/>
      </w:pPr>
      <w:r>
        <w:t>8. Indemnification</w:t>
      </w:r>
    </w:p>
    <w:p>
      <w:r>
        <w:t>Facilitator will indemnify Birthright for any claim arising out of</w:t>
      </w:r>
    </w:p>
    <w:p>
      <w:r>
        <w:t>Facilitator's own acts, omissions, or breach of this Agreement. Birthright</w:t>
      </w:r>
    </w:p>
    <w:p>
      <w:r>
        <w:t>will indemnify Facilitator for any claim arising out of Birthright's own</w:t>
      </w:r>
    </w:p>
    <w:p>
      <w:r>
        <w:t>gross negligence or willful misconduct.</w:t>
      </w:r>
    </w:p>
    <w:p>
      <w:pPr>
        <w:pStyle w:val="Heading2"/>
      </w:pPr>
      <w:r>
        <w:t>9. Insurance</w:t>
      </w:r>
    </w:p>
    <w:p>
      <w:r>
        <w:t>Facilitator is encouraged to maintain professional liability insurance</w:t>
      </w:r>
    </w:p>
    <w:p>
      <w:r>
        <w:t>appropriate to their modality. Birthright maintains general liability</w:t>
      </w:r>
    </w:p>
    <w:p>
      <w:r>
        <w:t>insurance covering platform operations.</w:t>
      </w:r>
    </w:p>
    <w:p>
      <w:pPr>
        <w:pStyle w:val="Heading2"/>
      </w:pPr>
      <w:r>
        <w:t>10. Miscellaneous</w:t>
      </w:r>
    </w:p>
    <w:p>
      <w:r>
        <w:t>Governing law, entire-agreement, severability, and no-waiver clauses</w:t>
      </w:r>
    </w:p>
    <w:p>
      <w:r>
        <w:t>consistent with the Terms of Service.</w:t>
      </w:r>
    </w:p>
    <w:p>
      <w:r>
        <w:rPr>
          <w:b/>
        </w:rPr>
        <w:t>Facilitator name</w:t>
      </w:r>
      <w:r>
        <w:t>: __________________________</w:t>
      </w:r>
    </w:p>
    <w:p>
      <w:r>
        <w:rPr>
          <w:b/>
        </w:rPr>
        <w:t>Signature</w:t>
      </w:r>
      <w:r>
        <w:t xml:space="preserve">: __________________________  </w:t>
      </w:r>
      <w:r>
        <w:rPr>
          <w:b/>
        </w:rPr>
        <w:t>Date</w:t>
      </w:r>
      <w:r>
        <w:t>: __________</w:t>
      </w:r>
    </w:p>
    <w:p>
      <w:r>
        <w:rPr>
          <w:b/>
        </w:rPr>
        <w:t>Birthright signatory</w:t>
      </w:r>
      <w:r>
        <w:t>: __________________________</w:t>
      </w:r>
    </w:p>
    <w:p/>
    <w:p>
      <w:r>
        <w:t>_This document is an AI-generated first draft prepared for outside counsel</w:t>
      </w:r>
    </w:p>
    <w:p>
      <w:r>
        <w:t>review. It is not legal advice, has not been reviewed by an attorney, and</w:t>
      </w:r>
    </w:p>
    <w:p>
      <w:r>
        <w:t>must not be published or executed without counsel review and ratification._</w:t>
      </w:r>
    </w:p>
    <w:p/>
    <w:p>
      <w:pPr>
        <w:pStyle w:val="Heading2"/>
      </w:pPr>
      <w:r>
        <w:t>EU / UK Compliance Addendum</w:t>
      </w:r>
    </w:p>
    <w:p>
      <w:r>
        <w:t>This document was drafted with EU / UK regulatory alignment in mind. Where</w:t>
      </w:r>
    </w:p>
    <w:p>
      <w:r>
        <w:t>this document conflicts with mandatory rights of an EU or UK resident, the</w:t>
      </w:r>
    </w:p>
    <w:p>
      <w:r>
        <w:t>mandatory local rules prevail. In particular:</w:t>
      </w:r>
    </w:p>
    <w:p>
      <w:pPr>
        <w:pStyle w:val="ListBullet"/>
      </w:pPr>
      <w:r>
        <w:rPr>
          <w:b/>
        </w:rPr>
        <w:t>GDPR (EU) 2016/679 and UK GDPR</w:t>
      </w:r>
      <w:r>
        <w:t xml:space="preserve"> apply to processing of personal data</w:t>
      </w:r>
    </w:p>
    <w:p>
      <w:r>
        <w:t>of individuals in the EEA and UK. Where Birthright is the controller,</w:t>
      </w:r>
    </w:p>
    <w:p>
      <w:r>
        <w:t>the lawful bases relied on are: (i) contract necessity, (ii) legitimate</w:t>
      </w:r>
    </w:p>
    <w:p>
      <w:r>
        <w:t>interests (balanced by opt-out), (iii) consent (marketing and non-</w:t>
      </w:r>
    </w:p>
    <w:p>
      <w:r>
        <w:t>essential cookies), and (iv) legal obligation.</w:t>
      </w:r>
    </w:p>
    <w:p>
      <w:pPr>
        <w:pStyle w:val="ListBullet"/>
      </w:pPr>
      <w:r>
        <w:rPr>
          <w:b/>
        </w:rPr>
        <w:t>ePrivacy Directive (2002/58/EC as amended)</w:t>
      </w:r>
      <w:r>
        <w:t xml:space="preserve"> applies to cookies and</w:t>
      </w:r>
    </w:p>
    <w:p>
      <w:r>
        <w:t>similar tracking. Non-essential cookies require prior opt-in consent.</w:t>
      </w:r>
    </w:p>
    <w:p>
      <w:pPr>
        <w:pStyle w:val="ListBullet"/>
      </w:pPr>
      <w:r>
        <w:rPr>
          <w:b/>
        </w:rPr>
        <w:t>EU Consumer Rights Directive (2011/83/EU)</w:t>
      </w:r>
      <w:r>
        <w:t xml:space="preserve"> — EU/UK consumers have</w:t>
      </w:r>
    </w:p>
    <w:p>
      <w:r>
        <w:t>a 14-day right of withdrawal on distance sales of goods and most</w:t>
      </w:r>
    </w:p>
    <w:p>
      <w:r>
        <w:t>digital services. Where a workshop or digital product has been fully</w:t>
      </w:r>
    </w:p>
    <w:p>
      <w:r>
        <w:t>performed with the consumer's prior consent, the right may be lost.</w:t>
      </w:r>
    </w:p>
    <w:p>
      <w:pPr>
        <w:pStyle w:val="ListBullet"/>
      </w:pPr>
      <w:r>
        <w:rPr>
          <w:b/>
        </w:rPr>
        <w:t>Digital Services Act (Regulation 2022/2065)</w:t>
      </w:r>
      <w:r>
        <w:t xml:space="preserve"> applies to online</w:t>
      </w:r>
    </w:p>
    <w:p>
      <w:r>
        <w:t>intermediaries offering services in the EU; Birthright's community</w:t>
      </w:r>
    </w:p>
    <w:p>
      <w:r>
        <w:t>features (posts, DMs, disputes) fall within scope. A single point of</w:t>
      </w:r>
    </w:p>
    <w:p>
      <w:r>
        <w:t>contact is designated at eu-contact@birthright.live.</w:t>
      </w:r>
    </w:p>
    <w:p>
      <w:pPr>
        <w:pStyle w:val="ListBullet"/>
      </w:pPr>
      <w:r>
        <w:rPr>
          <w:b/>
        </w:rPr>
        <w:t>EU AI Act (Regulation 2024/1689)</w:t>
      </w:r>
      <w:r>
        <w:t xml:space="preserve"> applies to providers and deployers</w:t>
      </w:r>
    </w:p>
    <w:p>
      <w:r>
        <w:t>of AI systems affecting EU users. Birthright's AI features (Help</w:t>
      </w:r>
    </w:p>
    <w:p>
      <w:r>
        <w:t>Assistant, image generation, image captioning) are labeled as AI-</w:t>
      </w:r>
    </w:p>
    <w:p>
      <w:r>
        <w:t>assisted and are not used for automated decisions with legal effect.</w:t>
      </w:r>
    </w:p>
    <w:p>
      <w:pPr>
        <w:pStyle w:val="ListBullet"/>
      </w:pPr>
      <w:r>
        <w:rPr>
          <w:b/>
        </w:rPr>
        <w:t>Data transfers out of the EEA/UK/CH</w:t>
      </w:r>
      <w:r>
        <w:t xml:space="preserve"> rely on the EU Standard</w:t>
      </w:r>
    </w:p>
    <w:p>
      <w:r>
        <w:t>Contractual Clauses (2021/914) and the UK International Data Transfer</w:t>
      </w:r>
    </w:p>
    <w:p>
      <w:r>
        <w:t>Addendum, with a transfer-impact assessment on file for each sub-</w:t>
      </w:r>
    </w:p>
    <w:p>
      <w:r>
        <w:t>processor.</w:t>
      </w:r>
    </w:p>
    <w:p>
      <w:pPr>
        <w:pStyle w:val="ListBullet"/>
      </w:pPr>
      <w:r>
        <w:rPr>
          <w:b/>
        </w:rPr>
        <w:t>Data Protection Officer (DPO)</w:t>
      </w:r>
      <w:r>
        <w:t xml:space="preserve"> — Birthright will designate a DPO</w:t>
      </w:r>
    </w:p>
    <w:p>
      <w:r>
        <w:t>once threshold criteria under GDPR Art. 37 are met. Contact:</w:t>
      </w:r>
    </w:p>
    <w:p>
      <w:r>
        <w:t>dpo@birthright.live.</w:t>
      </w:r>
    </w:p>
    <w:p>
      <w:pPr>
        <w:pStyle w:val="ListBullet"/>
      </w:pPr>
      <w:r>
        <w:rPr>
          <w:b/>
        </w:rPr>
        <w:t>DSAR window</w:t>
      </w:r>
      <w:r>
        <w:t xml:space="preserve"> — subject access, rectification, erasure, portability,</w:t>
      </w:r>
    </w:p>
    <w:p>
      <w:r>
        <w:t xml:space="preserve">and objection requests are responded to within </w:t>
      </w:r>
      <w:r>
        <w:rPr>
          <w:b/>
        </w:rPr>
        <w:t>30 days</w:t>
      </w:r>
      <w:r>
        <w:t xml:space="preserve"> (extendable</w:t>
      </w:r>
    </w:p>
    <w:p>
      <w:r>
        <w:t>by 60 days for complex requests) at privacy@birthright.live.</w:t>
      </w:r>
    </w:p>
    <w:p>
      <w:pPr>
        <w:pStyle w:val="ListBullet"/>
      </w:pPr>
      <w:r>
        <w:rPr>
          <w:b/>
        </w:rPr>
        <w:t>Supervisory authority</w:t>
      </w:r>
      <w:r>
        <w:t xml:space="preserve"> — EU/UK residents may lodge a complaint with</w:t>
      </w:r>
    </w:p>
    <w:p>
      <w:r>
        <w:t>their local supervisory authority; a list is available at</w:t>
      </w:r>
    </w:p>
    <w:p>
      <w:hyperlink r:id="rId9">
        <w:r>
          <w:rPr>
            <w:color w:val="0563C1"/>
            <w:u w:val="single"/>
          </w:rPr>
          <w:t xml:space="preserve">https://edpb.europa.eu/about-edpb/about-edpb/members_en</w:t>
        </w:r>
      </w:hyperlink>
      <w:r>
        <w:t xml:space="preserve"> (EU) and</w:t>
      </w:r>
    </w:p>
    <w:p>
      <w:hyperlink r:id="rId10">
        <w:r>
          <w:rPr>
            <w:color w:val="0563C1"/>
            <w:u w:val="single"/>
          </w:rPr>
          <w:t xml:space="preserve">https://ico.org.uk</w:t>
        </w:r>
      </w:hyperlink>
      <w:r>
        <w:t xml:space="preserve"> (UK).</w:t>
      </w:r>
    </w:p>
    <w:p>
      <w:pPr>
        <w:pStyle w:val="ListBullet"/>
      </w:pPr>
      <w:r>
        <w:rPr>
          <w:b/>
        </w:rPr>
        <w:t>VAT</w:t>
      </w:r>
      <w:r>
        <w:t xml:space="preserve"> — Where Birthright's EU B2C digital-service or goods sales</w:t>
      </w:r>
    </w:p>
    <w:p>
      <w:r>
        <w:t>cross applicable thresholds, VAT registration (One-Stop-Shop or</w:t>
      </w:r>
    </w:p>
    <w:p>
      <w:r>
        <w:t>country-by-country) will be completed.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dpb.europa.eu/about-edpb/about-edpb/members_en" TargetMode="External"/><Relationship Id="rId10" Type="http://schemas.openxmlformats.org/officeDocument/2006/relationships/hyperlink" Target="https://ico.org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