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Vendor Supplier / Dropship Agreement (Draft)</w:t>
      </w:r>
    </w:p>
    <w:p>
      <w:r>
        <w:t xml:space="preserve">Between Birthright Foundation and </w:t>
      </w:r>
      <w:r>
        <w:rPr>
          <w:b/>
        </w:rPr>
        <w:t>7C's Farmstead</w:t>
      </w:r>
      <w:r>
        <w:t xml:space="preserve"> ("Vendor"). This</w:t>
      </w:r>
    </w:p>
    <w:p>
      <w:r>
        <w:t>Agreement governs Vendor's fulfillment of orders placed on birthright.live.</w:t>
      </w:r>
    </w:p>
    <w:p>
      <w:pPr>
        <w:pStyle w:val="Heading2"/>
      </w:pPr>
      <w:r>
        <w:t>1. Scope</w:t>
      </w:r>
    </w:p>
    <w:p>
      <w:r>
        <w:t>Vendor supplies the SKUs listed in Exhibit A (initially the Founder</w:t>
      </w:r>
    </w:p>
    <w:p>
      <w:r>
        <w:t>Collection leather-engraved patches). Birthright markets, sells, and</w:t>
      </w:r>
    </w:p>
    <w:p>
      <w:r>
        <w:t>collects payment; Vendor manufactures and ships directly to the buyer.</w:t>
      </w:r>
    </w:p>
    <w:p>
      <w:pPr>
        <w:pStyle w:val="Heading2"/>
      </w:pPr>
      <w:r>
        <w:t>2. Pricing &amp; Payment</w:t>
      </w:r>
    </w:p>
    <w:p>
      <w:pPr>
        <w:pStyle w:val="ListBullet"/>
      </w:pPr>
      <w:r>
        <w:t>Retail (buyer pays Birthright): as listed on birthright.live.</w:t>
      </w:r>
    </w:p>
    <w:p>
      <w:pPr>
        <w:pStyle w:val="ListBullet"/>
      </w:pPr>
      <w:r>
        <w:t>Wholesale (Birthright pays Vendor): $[5.00] per patch, or as revised in</w:t>
      </w:r>
    </w:p>
    <w:p>
      <w:r>
        <w:t>Exhibit A.</w:t>
      </w:r>
    </w:p>
    <w:p>
      <w:pPr>
        <w:pStyle w:val="ListBullet"/>
      </w:pPr>
      <w:r>
        <w:t>Shipping cost (buyer pays Birthright; Birthright reimburses Vendor):</w:t>
      </w:r>
    </w:p>
    <w:p>
      <w:r>
        <w:t>actual cost or agreed flat rate per Exhibit A.</w:t>
      </w:r>
    </w:p>
    <w:p>
      <w:pPr>
        <w:pStyle w:val="ListBullet"/>
      </w:pPr>
      <w:r>
        <w:t>Birthright remits wholesale + shipping within 15 days of order or per</w:t>
      </w:r>
    </w:p>
    <w:p>
      <w:r>
        <w:t>the schedule in Exhibit A.</w:t>
      </w:r>
    </w:p>
    <w:p>
      <w:pPr>
        <w:pStyle w:val="Heading2"/>
      </w:pPr>
      <w:r>
        <w:t>3. Order Flow</w:t>
      </w:r>
    </w:p>
    <w:p>
      <w:pPr>
        <w:pStyle w:val="ListNumber"/>
      </w:pPr>
      <w:r>
        <w:t>Buyer completes checkout on birthright.live.</w:t>
      </w:r>
    </w:p>
    <w:p>
      <w:pPr>
        <w:pStyle w:val="ListNumber"/>
      </w:pPr>
      <w:r>
        <w:t>Birthright emails Vendor a prefilled order via Vendor's own custom</w:t>
      </w:r>
    </w:p>
    <w:p>
      <w:r>
        <w:t>order form (Formester) with all buyer, product, and shipping details.</w:t>
      </w:r>
    </w:p>
    <w:p>
      <w:pPr>
        <w:pStyle w:val="ListNumber"/>
      </w:pPr>
      <w:r>
        <w:t>Vendor fulfills using existing SKU files already on record — **no</w:t>
      </w:r>
    </w:p>
    <w:p>
      <w:r>
        <w:t>customization is permitted** unless separately agreed.</w:t>
      </w:r>
    </w:p>
    <w:p>
      <w:pPr>
        <w:pStyle w:val="ListNumber"/>
      </w:pPr>
      <w:r>
        <w:t>Vendor ships within [X] business days and provides tracking to</w:t>
      </w:r>
    </w:p>
    <w:p>
      <w:r>
        <w:t>orders@birthright.live.</w:t>
      </w:r>
    </w:p>
    <w:p>
      <w:pPr>
        <w:pStyle w:val="Heading2"/>
      </w:pPr>
      <w:r>
        <w:t>4. Quality &amp; Compliance</w:t>
      </w:r>
    </w:p>
    <w:p>
      <w:r>
        <w:t>Vendor represents that all products conform to their listed description,</w:t>
      </w:r>
    </w:p>
    <w:p>
      <w:r>
        <w:t>are free of material defects, and comply with applicable consumer safety</w:t>
      </w:r>
    </w:p>
    <w:p>
      <w:r>
        <w:t>laws.</w:t>
      </w:r>
    </w:p>
    <w:p>
      <w:pPr>
        <w:pStyle w:val="Heading2"/>
      </w:pPr>
      <w:r>
        <w:t>5. IP Ownership</w:t>
      </w:r>
    </w:p>
    <w:p>
      <w:r>
        <w:t>Birthright owns the SKU designs and engraving text ("Birthright Marks"</w:t>
      </w:r>
    </w:p>
    <w:p>
      <w:r>
        <w:t>described in Exhibit B). Vendor may use them only to fulfill Birthright</w:t>
      </w:r>
    </w:p>
    <w:p>
      <w:r>
        <w:t>orders and may not sell the same designs to other customers without</w:t>
      </w:r>
    </w:p>
    <w:p>
      <w:r>
        <w:t>written consent.</w:t>
      </w:r>
    </w:p>
    <w:p>
      <w:pPr>
        <w:pStyle w:val="Heading2"/>
      </w:pPr>
      <w:r>
        <w:t>6. IP Indemnity</w:t>
      </w:r>
    </w:p>
    <w:p>
      <w:r>
        <w:t>Each party indemnifies the other for third-party IP claims arising from</w:t>
      </w:r>
    </w:p>
    <w:p>
      <w:r>
        <w:t>that party's contributions (Birthright: designs/text; Vendor: manufacturing</w:t>
      </w:r>
    </w:p>
    <w:p>
      <w:r>
        <w:t>processes, materials).</w:t>
      </w:r>
    </w:p>
    <w:p>
      <w:pPr>
        <w:pStyle w:val="Heading2"/>
      </w:pPr>
      <w:r>
        <w:t>7. Returns &amp; Defects</w:t>
      </w:r>
    </w:p>
    <w:p>
      <w:r>
        <w:t>If a buyer initiates a return under the Refund &amp; Returns Policy for a</w:t>
      </w:r>
    </w:p>
    <w:p>
      <w:r>
        <w:t>defect attributable to Vendor, Vendor will accept the return and refund</w:t>
      </w:r>
    </w:p>
    <w:p>
      <w:r>
        <w:t>Birthright the wholesale + shipping amount within 15 days.</w:t>
      </w:r>
    </w:p>
    <w:p>
      <w:pPr>
        <w:pStyle w:val="Heading2"/>
      </w:pPr>
      <w:r>
        <w:t>8. Data Handling</w:t>
      </w:r>
    </w:p>
    <w:p>
      <w:r>
        <w:t>Buyer personal information is provided only to fulfill the specific order.</w:t>
      </w:r>
    </w:p>
    <w:p>
      <w:r>
        <w:t>Vendor will not use, retain beyond fulfillment necessity, or sell buyer</w:t>
      </w:r>
    </w:p>
    <w:p>
      <w:r>
        <w:t>information. Standard sub-processor DPA language attached as Exhibit C.</w:t>
      </w:r>
    </w:p>
    <w:p>
      <w:pPr>
        <w:pStyle w:val="Heading2"/>
      </w:pPr>
      <w:r>
        <w:t>9. Term &amp; Termination</w:t>
      </w:r>
    </w:p>
    <w:p>
      <w:r>
        <w:t>Initial term of 12 months, renewing month-to-month thereafter. Either</w:t>
      </w:r>
    </w:p>
    <w:p>
      <w:r>
        <w:t>party may terminate for convenience on 30 days' notice or immediately for</w:t>
      </w:r>
    </w:p>
    <w:p>
      <w:r>
        <w:t>material breach.</w:t>
      </w:r>
    </w:p>
    <w:p>
      <w:pPr>
        <w:pStyle w:val="Heading2"/>
      </w:pPr>
      <w:r>
        <w:t>10. Miscellaneous</w:t>
      </w:r>
    </w:p>
    <w:p>
      <w:r>
        <w:t>Governing law per Terms of Service; independent contractors; entire</w:t>
      </w:r>
    </w:p>
    <w:p>
      <w:r>
        <w:t>agreement.</w:t>
      </w:r>
    </w:p>
    <w:p>
      <w:r>
        <w:rPr>
          <w:b/>
        </w:rPr>
        <w:t>7C's Farmstead</w:t>
      </w:r>
      <w:r>
        <w:t>: __________________________</w:t>
      </w:r>
    </w:p>
    <w:p>
      <w:r>
        <w:rPr>
          <w:b/>
        </w:rPr>
        <w:t>Signature</w:t>
      </w:r>
      <w:r>
        <w:t xml:space="preserve">: __________________________  </w:t>
      </w:r>
      <w:r>
        <w:rPr>
          <w:b/>
        </w:rPr>
        <w:t>Date</w:t>
      </w:r>
      <w:r>
        <w:t>: __________</w:t>
      </w:r>
    </w:p>
    <w:p>
      <w:r>
        <w:rPr>
          <w:b/>
        </w:rPr>
        <w:t>Birthright signatory</w:t>
      </w:r>
      <w:r>
        <w:t>: __________________________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