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288"/>
      </w:pPr>
      <w:r>
        <w:rPr>
          <w:i/>
          <w:color w:val="7C5316"/>
        </w:rPr>
        <w:t>⚠️ **AI-GENERATED FIRST DRAFT — NOT LEGAL ADVICE**</w:t>
      </w:r>
    </w:p>
    <w:p>
      <w:r>
        <w:t>&gt;</w:t>
      </w:r>
    </w:p>
    <w:p>
      <w:pPr>
        <w:ind w:left="288"/>
      </w:pPr>
      <w:r>
        <w:rPr>
          <w:i/>
          <w:color w:val="7C5316"/>
        </w:rPr>
        <w:t>This document was generated by an AI assistant as a starting point for</w:t>
      </w:r>
    </w:p>
    <w:p>
      <w:pPr>
        <w:ind w:left="288"/>
      </w:pPr>
      <w:r>
        <w:rPr>
          <w:i/>
          <w:color w:val="7C5316"/>
        </w:rPr>
        <w:t>outside counsel. It is not legal advice, has not been reviewed by an</w:t>
      </w:r>
    </w:p>
    <w:p>
      <w:pPr>
        <w:ind w:left="288"/>
      </w:pPr>
      <w:r>
        <w:rPr>
          <w:i/>
          <w:color w:val="7C5316"/>
        </w:rPr>
        <w:t>attorney, and MUST NOT be published, executed, or relied upon in its</w:t>
      </w:r>
    </w:p>
    <w:p>
      <w:pPr>
        <w:ind w:left="288"/>
      </w:pPr>
      <w:r>
        <w:rPr>
          <w:i/>
          <w:color w:val="7C5316"/>
        </w:rPr>
        <w:t>current form. Counsel must review, revise, adapt to the entity form and</w:t>
      </w:r>
    </w:p>
    <w:p>
      <w:pPr>
        <w:ind w:left="288"/>
      </w:pPr>
      <w:r>
        <w:rPr>
          <w:i/>
          <w:color w:val="7C5316"/>
        </w:rPr>
        <w:t>state of incorporation, and ratify before any use.</w:t>
      </w:r>
    </w:p>
    <w:p>
      <w:r>
        <w:t>&gt;</w:t>
      </w:r>
    </w:p>
    <w:p>
      <w:pPr>
        <w:ind w:left="288"/>
      </w:pPr>
      <w:r>
        <w:rPr>
          <w:i/>
          <w:color w:val="7C5316"/>
        </w:rPr>
        <w:t>Version: February 2026 · Generated for: Birthright Foundation</w:t>
      </w:r>
    </w:p>
    <w:p>
      <w:pPr>
        <w:ind w:left="288"/>
      </w:pPr>
      <w:r>
        <w:rPr>
          <w:i/>
          <w:color w:val="7C5316"/>
        </w:rPr>
        <w:t>(birthright.live) · Executive Director: James Reagan</w:t>
      </w:r>
    </w:p>
    <w:p>
      <w:pPr>
        <w:pStyle w:val="Heading1"/>
      </w:pPr>
      <w:r>
        <w:t>Sliding-Scale &amp; Scholarship Terms (Draft)</w:t>
      </w:r>
    </w:p>
    <w:p>
      <w:r>
        <w:t>Birthright offers sliding-scale pricing on many workshops so that cost</w:t>
      </w:r>
    </w:p>
    <w:p>
      <w:r>
        <w:t>does not exclude anyone from the community.</w:t>
      </w:r>
    </w:p>
    <w:p>
      <w:pPr>
        <w:pStyle w:val="Heading2"/>
      </w:pPr>
      <w:r>
        <w:t>1. Tiers</w:t>
      </w:r>
    </w:p>
    <w:p>
      <w:r>
        <w:t>Each participating workshop lists three price points:</w:t>
      </w:r>
    </w:p>
    <w:p>
      <w:pPr>
        <w:pStyle w:val="ListBullet"/>
      </w:pPr>
      <w:r>
        <w:rPr>
          <w:b/>
        </w:rPr>
        <w:t>Supported</w:t>
      </w:r>
      <w:r>
        <w:t xml:space="preserve"> — below cost. For participants with financial constraint.</w:t>
      </w:r>
    </w:p>
    <w:p>
      <w:pPr>
        <w:pStyle w:val="ListBullet"/>
      </w:pPr>
      <w:r>
        <w:rPr>
          <w:b/>
        </w:rPr>
        <w:t>Sustaining</w:t>
      </w:r>
      <w:r>
        <w:t xml:space="preserve"> — actual cost of running the session.</w:t>
      </w:r>
    </w:p>
    <w:p>
      <w:pPr>
        <w:pStyle w:val="ListBullet"/>
      </w:pPr>
      <w:r>
        <w:rPr>
          <w:b/>
        </w:rPr>
        <w:t>Solidarity</w:t>
      </w:r>
      <w:r>
        <w:t xml:space="preserve"> — above cost. Helps subsidize Supported seats.</w:t>
      </w:r>
    </w:p>
    <w:p>
      <w:pPr>
        <w:pStyle w:val="Heading2"/>
      </w:pPr>
      <w:r>
        <w:t>2. Trust-Based</w:t>
      </w:r>
    </w:p>
    <w:p>
      <w:r>
        <w:t>Selection is trust-based. We do not verify income. We ask that you choose</w:t>
      </w:r>
    </w:p>
    <w:p>
      <w:r>
        <w:t>in good faith and adjust up or down over time as your circumstances</w:t>
      </w:r>
    </w:p>
    <w:p>
      <w:r>
        <w:t>change.</w:t>
      </w:r>
    </w:p>
    <w:p>
      <w:pPr>
        <w:pStyle w:val="Heading2"/>
      </w:pPr>
      <w:r>
        <w:t>3. Scholarship Seats</w:t>
      </w:r>
    </w:p>
    <w:p>
      <w:r>
        <w:t>A limited number of no-cost scholarship seats are held for each open</w:t>
      </w:r>
    </w:p>
    <w:p>
      <w:r>
        <w:t>workshop. Apply via the "Request scholarship" link on the workshop page.</w:t>
      </w:r>
    </w:p>
    <w:p>
      <w:r>
        <w:t>Approval is at facilitator discretion.</w:t>
      </w:r>
    </w:p>
    <w:p>
      <w:pPr>
        <w:pStyle w:val="Heading2"/>
      </w:pPr>
      <w:r>
        <w:t>4. Refunds</w:t>
      </w:r>
    </w:p>
    <w:p>
      <w:r>
        <w:t>Same as our general Refund &amp; Returns Policy: refunds available up to 48</w:t>
      </w:r>
    </w:p>
    <w:p>
      <w:r>
        <w:t>hours before the session start time.</w:t>
      </w:r>
    </w:p>
    <w:p>
      <w:pPr>
        <w:pStyle w:val="Heading2"/>
      </w:pPr>
      <w:r>
        <w:t>5. No Downgrade Guilt</w:t>
      </w:r>
    </w:p>
    <w:p>
      <w:r>
        <w:t>Choosing a lower tier does not affect the experience you receive.</w:t>
      </w:r>
    </w:p>
    <w:p>
      <w:r>
        <w:t>Facilitators do not know which tier any participant selected.</w:t>
      </w:r>
    </w:p>
    <w:p/>
    <w:p>
      <w:r>
        <w:t>_This document is an AI-generated first draft prepared for outside counsel</w:t>
      </w:r>
    </w:p>
    <w:p>
      <w:r>
        <w:t>review. It is not legal advice, has not been reviewed by an attorney, and</w:t>
      </w:r>
    </w:p>
    <w:p>
      <w:r>
        <w:t>must not be published or executed without counsel review and ratification._</w:t>
      </w:r>
    </w:p>
    <w:p/>
    <w:p>
      <w:pPr>
        <w:pStyle w:val="Heading2"/>
      </w:pPr>
      <w:r>
        <w:t>EU / UK Compliance Addendum</w:t>
      </w:r>
    </w:p>
    <w:p>
      <w:r>
        <w:t>This document was drafted with EU / UK regulatory alignment in mind. Where</w:t>
      </w:r>
    </w:p>
    <w:p>
      <w:r>
        <w:t>this document conflicts with mandatory rights of an EU or UK resident, the</w:t>
      </w:r>
    </w:p>
    <w:p>
      <w:r>
        <w:t>mandatory local rules prevail. In particular:</w:t>
      </w:r>
    </w:p>
    <w:p>
      <w:pPr>
        <w:pStyle w:val="ListBullet"/>
      </w:pPr>
      <w:r>
        <w:rPr>
          <w:b/>
        </w:rPr>
        <w:t>GDPR (EU) 2016/679 and UK GDPR</w:t>
      </w:r>
      <w:r>
        <w:t xml:space="preserve"> apply to processing of personal data</w:t>
      </w:r>
    </w:p>
    <w:p>
      <w:r>
        <w:t>of individuals in the EEA and UK. Where Birthright is the controller,</w:t>
      </w:r>
    </w:p>
    <w:p>
      <w:r>
        <w:t>the lawful bases relied on are: (i) contract necessity, (ii) legitimate</w:t>
      </w:r>
    </w:p>
    <w:p>
      <w:r>
        <w:t>interests (balanced by opt-out), (iii) consent (marketing and non-</w:t>
      </w:r>
    </w:p>
    <w:p>
      <w:r>
        <w:t>essential cookies), and (iv) legal obligation.</w:t>
      </w:r>
    </w:p>
    <w:p>
      <w:pPr>
        <w:pStyle w:val="ListBullet"/>
      </w:pPr>
      <w:r>
        <w:rPr>
          <w:b/>
        </w:rPr>
        <w:t>ePrivacy Directive (2002/58/EC as amended)</w:t>
      </w:r>
      <w:r>
        <w:t xml:space="preserve"> applies to cookies and</w:t>
      </w:r>
    </w:p>
    <w:p>
      <w:r>
        <w:t>similar tracking. Non-essential cookies require prior opt-in consent.</w:t>
      </w:r>
    </w:p>
    <w:p>
      <w:pPr>
        <w:pStyle w:val="ListBullet"/>
      </w:pPr>
      <w:r>
        <w:rPr>
          <w:b/>
        </w:rPr>
        <w:t>EU Consumer Rights Directive (2011/83/EU)</w:t>
      </w:r>
      <w:r>
        <w:t xml:space="preserve"> — EU/UK consumers have</w:t>
      </w:r>
    </w:p>
    <w:p>
      <w:r>
        <w:t>a 14-day right of withdrawal on distance sales of goods and most</w:t>
      </w:r>
    </w:p>
    <w:p>
      <w:r>
        <w:t>digital services. Where a workshop or digital product has been fully</w:t>
      </w:r>
    </w:p>
    <w:p>
      <w:r>
        <w:t>performed with the consumer's prior consent, the right may be lost.</w:t>
      </w:r>
    </w:p>
    <w:p>
      <w:pPr>
        <w:pStyle w:val="ListBullet"/>
      </w:pPr>
      <w:r>
        <w:rPr>
          <w:b/>
        </w:rPr>
        <w:t>Digital Services Act (Regulation 2022/2065)</w:t>
      </w:r>
      <w:r>
        <w:t xml:space="preserve"> applies to online</w:t>
      </w:r>
    </w:p>
    <w:p>
      <w:r>
        <w:t>intermediaries offering services in the EU; Birthright's community</w:t>
      </w:r>
    </w:p>
    <w:p>
      <w:r>
        <w:t>features (posts, DMs, disputes) fall within scope. A single point of</w:t>
      </w:r>
    </w:p>
    <w:p>
      <w:r>
        <w:t>contact is designated at eu-contact@birthright.live.</w:t>
      </w:r>
    </w:p>
    <w:p>
      <w:pPr>
        <w:pStyle w:val="ListBullet"/>
      </w:pPr>
      <w:r>
        <w:rPr>
          <w:b/>
        </w:rPr>
        <w:t>EU AI Act (Regulation 2024/1689)</w:t>
      </w:r>
      <w:r>
        <w:t xml:space="preserve"> applies to providers and deployers</w:t>
      </w:r>
    </w:p>
    <w:p>
      <w:r>
        <w:t>of AI systems affecting EU users. Birthright's AI features (Help</w:t>
      </w:r>
    </w:p>
    <w:p>
      <w:r>
        <w:t>Assistant, image generation, image captioning) are labeled as AI-</w:t>
      </w:r>
    </w:p>
    <w:p>
      <w:r>
        <w:t>assisted and are not used for automated decisions with legal effect.</w:t>
      </w:r>
    </w:p>
    <w:p>
      <w:pPr>
        <w:pStyle w:val="ListBullet"/>
      </w:pPr>
      <w:r>
        <w:rPr>
          <w:b/>
        </w:rPr>
        <w:t>Data transfers out of the EEA/UK/CH</w:t>
      </w:r>
      <w:r>
        <w:t xml:space="preserve"> rely on the EU Standard</w:t>
      </w:r>
    </w:p>
    <w:p>
      <w:r>
        <w:t>Contractual Clauses (2021/914) and the UK International Data Transfer</w:t>
      </w:r>
    </w:p>
    <w:p>
      <w:r>
        <w:t>Addendum, with a transfer-impact assessment on file for each sub-</w:t>
      </w:r>
    </w:p>
    <w:p>
      <w:r>
        <w:t>processor.</w:t>
      </w:r>
    </w:p>
    <w:p>
      <w:pPr>
        <w:pStyle w:val="ListBullet"/>
      </w:pPr>
      <w:r>
        <w:rPr>
          <w:b/>
        </w:rPr>
        <w:t>Data Protection Officer (DPO)</w:t>
      </w:r>
      <w:r>
        <w:t xml:space="preserve"> — Birthright will designate a DPO</w:t>
      </w:r>
    </w:p>
    <w:p>
      <w:r>
        <w:t>once threshold criteria under GDPR Art. 37 are met. Contact:</w:t>
      </w:r>
    </w:p>
    <w:p>
      <w:r>
        <w:t>dpo@birthright.live.</w:t>
      </w:r>
    </w:p>
    <w:p>
      <w:pPr>
        <w:pStyle w:val="ListBullet"/>
      </w:pPr>
      <w:r>
        <w:rPr>
          <w:b/>
        </w:rPr>
        <w:t>DSAR window</w:t>
      </w:r>
      <w:r>
        <w:t xml:space="preserve"> — subject access, rectification, erasure, portability,</w:t>
      </w:r>
    </w:p>
    <w:p>
      <w:r>
        <w:t xml:space="preserve">and objection requests are responded to within </w:t>
      </w:r>
      <w:r>
        <w:rPr>
          <w:b/>
        </w:rPr>
        <w:t>30 days</w:t>
      </w:r>
      <w:r>
        <w:t xml:space="preserve"> (extendable</w:t>
      </w:r>
    </w:p>
    <w:p>
      <w:r>
        <w:t>by 60 days for complex requests) at privacy@birthright.live.</w:t>
      </w:r>
    </w:p>
    <w:p>
      <w:pPr>
        <w:pStyle w:val="ListBullet"/>
      </w:pPr>
      <w:r>
        <w:rPr>
          <w:b/>
        </w:rPr>
        <w:t>Supervisory authority</w:t>
      </w:r>
      <w:r>
        <w:t xml:space="preserve"> — EU/UK residents may lodge a complaint with</w:t>
      </w:r>
    </w:p>
    <w:p>
      <w:r>
        <w:t>their local supervisory authority; a list is available at</w:t>
      </w:r>
    </w:p>
    <w:p>
      <w:hyperlink r:id="rId9">
        <w:r>
          <w:rPr>
            <w:color w:val="0563C1"/>
            <w:u w:val="single"/>
          </w:rPr>
          <w:t xml:space="preserve">https://edpb.europa.eu/about-edpb/about-edpb/members_en</w:t>
        </w:r>
      </w:hyperlink>
      <w:r>
        <w:t xml:space="preserve"> (EU) and</w:t>
      </w:r>
    </w:p>
    <w:p>
      <w:hyperlink r:id="rId10">
        <w:r>
          <w:rPr>
            <w:color w:val="0563C1"/>
            <w:u w:val="single"/>
          </w:rPr>
          <w:t xml:space="preserve">https://ico.org.uk</w:t>
        </w:r>
      </w:hyperlink>
      <w:r>
        <w:t xml:space="preserve"> (UK).</w:t>
      </w:r>
    </w:p>
    <w:p>
      <w:pPr>
        <w:pStyle w:val="ListBullet"/>
      </w:pPr>
      <w:r>
        <w:rPr>
          <w:b/>
        </w:rPr>
        <w:t>VAT</w:t>
      </w:r>
      <w:r>
        <w:t xml:space="preserve"> — Where Birthright's EU B2C digital-service or goods sales</w:t>
      </w:r>
    </w:p>
    <w:p>
      <w:r>
        <w:t>cross applicable thresholds, VAT registration (One-Stop-Shop or</w:t>
      </w:r>
    </w:p>
    <w:p>
      <w:r>
        <w:t>country-by-country) will be completed.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dpb.europa.eu/about-edpb/about-edpb/members_en" TargetMode="External"/><Relationship Id="rId10" Type="http://schemas.openxmlformats.org/officeDocument/2006/relationships/hyperlink" Target="https://ico.org.u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