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288"/>
      </w:pPr>
      <w:r>
        <w:rPr>
          <w:i/>
          <w:color w:val="7C5316"/>
        </w:rPr>
        <w:t>⚠️ **AI-GENERATED FIRST DRAFT — NOT LEGAL ADVICE**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This document was generated by an AI assistant as a starting point for</w:t>
      </w:r>
    </w:p>
    <w:p>
      <w:pPr>
        <w:ind w:left="288"/>
      </w:pPr>
      <w:r>
        <w:rPr>
          <w:i/>
          <w:color w:val="7C5316"/>
        </w:rPr>
        <w:t>outside counsel. It is not legal advice, has not been reviewed by an</w:t>
      </w:r>
    </w:p>
    <w:p>
      <w:pPr>
        <w:ind w:left="288"/>
      </w:pPr>
      <w:r>
        <w:rPr>
          <w:i/>
          <w:color w:val="7C5316"/>
        </w:rPr>
        <w:t>attorney, and MUST NOT be published, executed, or relied upon in its</w:t>
      </w:r>
    </w:p>
    <w:p>
      <w:pPr>
        <w:ind w:left="288"/>
      </w:pPr>
      <w:r>
        <w:rPr>
          <w:i/>
          <w:color w:val="7C5316"/>
        </w:rPr>
        <w:t>current form. Counsel must review, revise, adapt to the entity form and</w:t>
      </w:r>
    </w:p>
    <w:p>
      <w:pPr>
        <w:ind w:left="288"/>
      </w:pPr>
      <w:r>
        <w:rPr>
          <w:i/>
          <w:color w:val="7C5316"/>
        </w:rPr>
        <w:t>state of incorporation, and ratify before any use.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Version: February 2026 · Generated for: Birthright Foundation</w:t>
      </w:r>
    </w:p>
    <w:p>
      <w:pPr>
        <w:ind w:left="288"/>
      </w:pPr>
      <w:r>
        <w:rPr>
          <w:i/>
          <w:color w:val="7C5316"/>
        </w:rPr>
        <w:t>(birthright.live) · Executive Director: James Reagan</w:t>
      </w:r>
    </w:p>
    <w:p>
      <w:pPr>
        <w:pStyle w:val="Heading1"/>
      </w:pPr>
      <w:r>
        <w:t>Content Moderation &amp; Community Standards Policy (Draft)</w:t>
      </w:r>
    </w:p>
    <w:p>
      <w:pPr>
        <w:pStyle w:val="Heading2"/>
      </w:pPr>
      <w:r>
        <w:t>1. Our Ask</w:t>
      </w:r>
    </w:p>
    <w:p>
      <w:r>
        <w:t>Birthright is a community focused on secure connection. Please participate</w:t>
      </w:r>
    </w:p>
    <w:p>
      <w:r>
        <w:t>with courage, honesty, and care. This policy explains what is not</w:t>
      </w:r>
    </w:p>
    <w:p>
      <w:r>
        <w:t>acceptable and how we enforce it.</w:t>
      </w:r>
    </w:p>
    <w:p>
      <w:pPr>
        <w:pStyle w:val="Heading2"/>
      </w:pPr>
      <w:r>
        <w:t>2. Not Allowed</w:t>
      </w:r>
    </w:p>
    <w:p>
      <w:pPr>
        <w:pStyle w:val="ListBullet"/>
      </w:pPr>
      <w:r>
        <w:t>Harassment, targeted abuse, hate speech</w:t>
      </w:r>
    </w:p>
    <w:p>
      <w:pPr>
        <w:pStyle w:val="ListBullet"/>
      </w:pPr>
      <w:r>
        <w:t>Threats of violence or incitement</w:t>
      </w:r>
    </w:p>
    <w:p>
      <w:pPr>
        <w:pStyle w:val="ListBullet"/>
      </w:pPr>
      <w:r>
        <w:t>Doxxing or sharing another person's private information</w:t>
      </w:r>
    </w:p>
    <w:p>
      <w:pPr>
        <w:pStyle w:val="ListBullet"/>
      </w:pPr>
      <w:r>
        <w:t>Sexual content involving minors (mandatory report to authorities)</w:t>
      </w:r>
    </w:p>
    <w:p>
      <w:pPr>
        <w:pStyle w:val="ListBullet"/>
      </w:pPr>
      <w:r>
        <w:t>Illegal content or activity</w:t>
      </w:r>
    </w:p>
    <w:p>
      <w:pPr>
        <w:pStyle w:val="ListBullet"/>
      </w:pPr>
      <w:r>
        <w:t>Spam, promotions, or unsolicited commercial messages</w:t>
      </w:r>
    </w:p>
    <w:p>
      <w:pPr>
        <w:pStyle w:val="ListBullet"/>
      </w:pPr>
      <w:r>
        <w:t>Impersonation of Birthright staff or another member</w:t>
      </w:r>
    </w:p>
    <w:p>
      <w:pPr>
        <w:pStyle w:val="ListBullet"/>
      </w:pPr>
      <w:r>
        <w:t>Circumventing moderation (e.g., ban evasion)</w:t>
      </w:r>
    </w:p>
    <w:p>
      <w:pPr>
        <w:pStyle w:val="Heading2"/>
      </w:pPr>
      <w:r>
        <w:t>3. Sensitive Topics</w:t>
      </w:r>
    </w:p>
    <w:p>
      <w:r>
        <w:t>Discussions of trauma, mental health, and relational harm are welcome and</w:t>
      </w:r>
    </w:p>
    <w:p>
      <w:r>
        <w:t>often central to the community. Please add content warnings for intense</w:t>
      </w:r>
    </w:p>
    <w:p>
      <w:r>
        <w:t>material. If you are describing self-harm intent, our team is required to</w:t>
      </w:r>
    </w:p>
    <w:p>
      <w:r>
        <w:t>respond and connect you to appropriate resources.</w:t>
      </w:r>
    </w:p>
    <w:p>
      <w:pPr>
        <w:pStyle w:val="Heading2"/>
      </w:pPr>
      <w:r>
        <w:t>4. Enforcement</w:t>
      </w:r>
    </w:p>
    <w:p>
      <w:pPr>
        <w:pStyle w:val="ListBullet"/>
      </w:pPr>
      <w:r>
        <w:t>Warning</w:t>
      </w:r>
    </w:p>
    <w:p>
      <w:pPr>
        <w:pStyle w:val="ListBullet"/>
      </w:pPr>
      <w:r>
        <w:t>Content removal</w:t>
      </w:r>
    </w:p>
    <w:p>
      <w:pPr>
        <w:pStyle w:val="ListBullet"/>
      </w:pPr>
      <w:r>
        <w:t>Temporary suspension</w:t>
      </w:r>
    </w:p>
    <w:p>
      <w:pPr>
        <w:pStyle w:val="ListBullet"/>
      </w:pPr>
      <w:r>
        <w:t>Permanent ban</w:t>
      </w:r>
    </w:p>
    <w:p>
      <w:pPr>
        <w:pStyle w:val="ListBullet"/>
      </w:pPr>
      <w:r>
        <w:t>Referral to law enforcement in cases of imminent harm or illegal</w:t>
      </w:r>
    </w:p>
    <w:p>
      <w:r>
        <w:t>content</w:t>
      </w:r>
    </w:p>
    <w:p>
      <w:pPr>
        <w:pStyle w:val="Heading2"/>
      </w:pPr>
      <w:r>
        <w:t>5. Reporting</w:t>
      </w:r>
    </w:p>
    <w:p>
      <w:r>
        <w:t>Report content via the report link on any post, or by emailing</w:t>
      </w:r>
    </w:p>
    <w:p>
      <w:r>
        <w:t>ombudsman@birthright.live.</w:t>
      </w:r>
    </w:p>
    <w:p>
      <w:pPr>
        <w:pStyle w:val="Heading2"/>
      </w:pPr>
      <w:r>
        <w:t>6. Appeals</w:t>
      </w:r>
    </w:p>
    <w:p>
      <w:r>
        <w:t>Sanctioned users may appeal to the Ombudsman under the Ombudsman Charter.</w:t>
      </w:r>
    </w:p>
    <w:p>
      <w:pPr>
        <w:pStyle w:val="Heading2"/>
      </w:pPr>
      <w:r>
        <w:t>7. Transparency</w:t>
      </w:r>
    </w:p>
    <w:p>
      <w:r>
        <w:t>We publish an anonymized annual report of the number of actions taken by</w:t>
      </w:r>
    </w:p>
    <w:p>
      <w:r>
        <w:t>category.</w:t>
      </w:r>
    </w:p>
    <w:p/>
    <w:p>
      <w:r>
        <w:t>_This document is an AI-generated first draft prepared for outside counsel</w:t>
      </w:r>
    </w:p>
    <w:p>
      <w:r>
        <w:t>review. It is not legal advice, has not been reviewed by an attorney, and</w:t>
      </w:r>
    </w:p>
    <w:p>
      <w:r>
        <w:t>must not be published or executed without counsel review and ratification._</w:t>
      </w:r>
    </w:p>
    <w:p/>
    <w:p>
      <w:pPr>
        <w:pStyle w:val="Heading2"/>
      </w:pPr>
      <w:r>
        <w:t>EU / UK Compliance Addendum</w:t>
      </w:r>
    </w:p>
    <w:p>
      <w:r>
        <w:t>This document was drafted with EU / UK regulatory alignment in mind. Where</w:t>
      </w:r>
    </w:p>
    <w:p>
      <w:r>
        <w:t>this document conflicts with mandatory rights of an EU or UK resident, the</w:t>
      </w:r>
    </w:p>
    <w:p>
      <w:r>
        <w:t>mandatory local rules prevail. In particular:</w:t>
      </w:r>
    </w:p>
    <w:p>
      <w:pPr>
        <w:pStyle w:val="ListBullet"/>
      </w:pPr>
      <w:r>
        <w:rPr>
          <w:b/>
        </w:rPr>
        <w:t>GDPR (EU) 2016/679 and UK GDPR</w:t>
      </w:r>
      <w:r>
        <w:t xml:space="preserve"> apply to processing of personal data</w:t>
      </w:r>
    </w:p>
    <w:p>
      <w:r>
        <w:t>of individuals in the EEA and UK. Where Birthright is the controller,</w:t>
      </w:r>
    </w:p>
    <w:p>
      <w:r>
        <w:t>the lawful bases relied on are: (i) contract necessity, (ii) legitimate</w:t>
      </w:r>
    </w:p>
    <w:p>
      <w:r>
        <w:t>interests (balanced by opt-out), (iii) consent (marketing and non-</w:t>
      </w:r>
    </w:p>
    <w:p>
      <w:r>
        <w:t>essential cookies), and (iv) legal obligation.</w:t>
      </w:r>
    </w:p>
    <w:p>
      <w:pPr>
        <w:pStyle w:val="ListBullet"/>
      </w:pPr>
      <w:r>
        <w:rPr>
          <w:b/>
        </w:rPr>
        <w:t>ePrivacy Directive (2002/58/EC as amended)</w:t>
      </w:r>
      <w:r>
        <w:t xml:space="preserve"> applies to cookies and</w:t>
      </w:r>
    </w:p>
    <w:p>
      <w:r>
        <w:t>similar tracking. Non-essential cookies require prior opt-in consent.</w:t>
      </w:r>
    </w:p>
    <w:p>
      <w:pPr>
        <w:pStyle w:val="ListBullet"/>
      </w:pPr>
      <w:r>
        <w:rPr>
          <w:b/>
        </w:rPr>
        <w:t>EU Consumer Rights Directive (2011/83/EU)</w:t>
      </w:r>
      <w:r>
        <w:t xml:space="preserve"> — EU/UK consumers have</w:t>
      </w:r>
    </w:p>
    <w:p>
      <w:r>
        <w:t>a 14-day right of withdrawal on distance sales of goods and most</w:t>
      </w:r>
    </w:p>
    <w:p>
      <w:r>
        <w:t>digital services. Where a workshop or digital product has been fully</w:t>
      </w:r>
    </w:p>
    <w:p>
      <w:r>
        <w:t>performed with the consumer's prior consent, the right may be lost.</w:t>
      </w:r>
    </w:p>
    <w:p>
      <w:pPr>
        <w:pStyle w:val="ListBullet"/>
      </w:pPr>
      <w:r>
        <w:rPr>
          <w:b/>
        </w:rPr>
        <w:t>Digital Services Act (Regulation 2022/2065)</w:t>
      </w:r>
      <w:r>
        <w:t xml:space="preserve"> applies to online</w:t>
      </w:r>
    </w:p>
    <w:p>
      <w:r>
        <w:t>intermediaries offering services in the EU; Birthright's community</w:t>
      </w:r>
    </w:p>
    <w:p>
      <w:r>
        <w:t>features (posts, DMs, disputes) fall within scope. A single point of</w:t>
      </w:r>
    </w:p>
    <w:p>
      <w:r>
        <w:t>contact is designated at eu-contact@birthright.live.</w:t>
      </w:r>
    </w:p>
    <w:p>
      <w:pPr>
        <w:pStyle w:val="ListBullet"/>
      </w:pPr>
      <w:r>
        <w:rPr>
          <w:b/>
        </w:rPr>
        <w:t>EU AI Act (Regulation 2024/1689)</w:t>
      </w:r>
      <w:r>
        <w:t xml:space="preserve"> applies to providers and deployers</w:t>
      </w:r>
    </w:p>
    <w:p>
      <w:r>
        <w:t>of AI systems affecting EU users. Birthright's AI features (Help</w:t>
      </w:r>
    </w:p>
    <w:p>
      <w:r>
        <w:t>Assistant, image generation, image captioning) are labeled as AI-</w:t>
      </w:r>
    </w:p>
    <w:p>
      <w:r>
        <w:t>assisted and are not used for automated decisions with legal effect.</w:t>
      </w:r>
    </w:p>
    <w:p>
      <w:pPr>
        <w:pStyle w:val="ListBullet"/>
      </w:pPr>
      <w:r>
        <w:rPr>
          <w:b/>
        </w:rPr>
        <w:t>Data transfers out of the EEA/UK/CH</w:t>
      </w:r>
      <w:r>
        <w:t xml:space="preserve"> rely on the EU Standard</w:t>
      </w:r>
    </w:p>
    <w:p>
      <w:r>
        <w:t>Contractual Clauses (2021/914) and the UK International Data Transfer</w:t>
      </w:r>
    </w:p>
    <w:p>
      <w:r>
        <w:t>Addendum, with a transfer-impact assessment on file for each sub-</w:t>
      </w:r>
    </w:p>
    <w:p>
      <w:r>
        <w:t>processor.</w:t>
      </w:r>
    </w:p>
    <w:p>
      <w:pPr>
        <w:pStyle w:val="ListBullet"/>
      </w:pPr>
      <w:r>
        <w:rPr>
          <w:b/>
        </w:rPr>
        <w:t>Data Protection Officer (DPO)</w:t>
      </w:r>
      <w:r>
        <w:t xml:space="preserve"> — Birthright will designate a DPO</w:t>
      </w:r>
    </w:p>
    <w:p>
      <w:r>
        <w:t>once threshold criteria under GDPR Art. 37 are met. Contact:</w:t>
      </w:r>
    </w:p>
    <w:p>
      <w:r>
        <w:t>dpo@birthright.live.</w:t>
      </w:r>
    </w:p>
    <w:p>
      <w:pPr>
        <w:pStyle w:val="ListBullet"/>
      </w:pPr>
      <w:r>
        <w:rPr>
          <w:b/>
        </w:rPr>
        <w:t>DSAR window</w:t>
      </w:r>
      <w:r>
        <w:t xml:space="preserve"> — subject access, rectification, erasure, portability,</w:t>
      </w:r>
    </w:p>
    <w:p>
      <w:r>
        <w:t xml:space="preserve">and objection requests are responded to within </w:t>
      </w:r>
      <w:r>
        <w:rPr>
          <w:b/>
        </w:rPr>
        <w:t>30 days</w:t>
      </w:r>
      <w:r>
        <w:t xml:space="preserve"> (extendable</w:t>
      </w:r>
    </w:p>
    <w:p>
      <w:r>
        <w:t>by 60 days for complex requests) at privacy@birthright.live.</w:t>
      </w:r>
    </w:p>
    <w:p>
      <w:pPr>
        <w:pStyle w:val="ListBullet"/>
      </w:pPr>
      <w:r>
        <w:rPr>
          <w:b/>
        </w:rPr>
        <w:t>Supervisory authority</w:t>
      </w:r>
      <w:r>
        <w:t xml:space="preserve"> — EU/UK residents may lodge a complaint with</w:t>
      </w:r>
    </w:p>
    <w:p>
      <w:r>
        <w:t>their local supervisory authority; a list is available at</w:t>
      </w:r>
    </w:p>
    <w:p>
      <w:hyperlink r:id="rId9">
        <w:r>
          <w:rPr>
            <w:color w:val="0563C1"/>
            <w:u w:val="single"/>
          </w:rPr>
          <w:t xml:space="preserve">https://edpb.europa.eu/about-edpb/about-edpb/members_en</w:t>
        </w:r>
      </w:hyperlink>
      <w:r>
        <w:t xml:space="preserve"> (EU) and</w:t>
      </w:r>
    </w:p>
    <w:p>
      <w:hyperlink r:id="rId10">
        <w:r>
          <w:rPr>
            <w:color w:val="0563C1"/>
            <w:u w:val="single"/>
          </w:rPr>
          <w:t xml:space="preserve">https://ico.org.uk</w:t>
        </w:r>
      </w:hyperlink>
      <w:r>
        <w:t xml:space="preserve"> (UK).</w:t>
      </w:r>
    </w:p>
    <w:p>
      <w:pPr>
        <w:pStyle w:val="ListBullet"/>
      </w:pPr>
      <w:r>
        <w:rPr>
          <w:b/>
        </w:rPr>
        <w:t>VAT</w:t>
      </w:r>
      <w:r>
        <w:t xml:space="preserve"> — Where Birthright's EU B2C digital-service or goods sales</w:t>
      </w:r>
    </w:p>
    <w:p>
      <w:r>
        <w:t>cross applicable thresholds, VAT registration (One-Stop-Shop or</w:t>
      </w:r>
    </w:p>
    <w:p>
      <w:r>
        <w:t>country-by-country) will be completed.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dpb.europa.eu/about-edpb/about-edpb/members_en" TargetMode="External"/><Relationship Id="rId10" Type="http://schemas.openxmlformats.org/officeDocument/2006/relationships/hyperlink" Target="https://ico.org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