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⚠️ **AI-GENERATED FIRST DRAFT — NOT LEGAL ADVICE**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was generated by an AI assistant as a starting point for</w:t>
      </w:r>
    </w:p>
    <w:p>
      <w:pPr>
        <w:ind w:left="288"/>
      </w:pPr>
      <w:r>
        <w:rPr>
          <w:i/>
          <w:color w:val="7C5316"/>
        </w:rPr>
        <w:t>outside counsel. It is not legal advice, has not been reviewed by an</w:t>
      </w:r>
    </w:p>
    <w:p>
      <w:pPr>
        <w:ind w:left="288"/>
      </w:pPr>
      <w:r>
        <w:rPr>
          <w:i/>
          <w:color w:val="7C5316"/>
        </w:rPr>
        <w:t>attorney, and MUST NOT be published, executed, or relied upon in its</w:t>
      </w:r>
    </w:p>
    <w:p>
      <w:pPr>
        <w:ind w:left="288"/>
      </w:pPr>
      <w:r>
        <w:rPr>
          <w:i/>
          <w:color w:val="7C5316"/>
        </w:rPr>
        <w:t>current form. Counsel must review, revise, adapt to the entity form and</w:t>
      </w:r>
    </w:p>
    <w:p>
      <w:pPr>
        <w:ind w:left="288"/>
      </w:pPr>
      <w:r>
        <w:rPr>
          <w:i/>
          <w:color w:val="7C5316"/>
        </w:rPr>
        <w:t>state of incorporation, and ratify before any use.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Generated for: Birthright Foundation</w:t>
      </w:r>
    </w:p>
    <w:p>
      <w:pPr>
        <w:ind w:left="288"/>
      </w:pPr>
      <w:r>
        <w:rPr>
          <w:i/>
          <w:color w:val="7C5316"/>
        </w:rPr>
        <w:t>(birthright.live) · Executive Director: James Reagan</w:t>
      </w:r>
    </w:p>
    <w:p>
      <w:pPr>
        <w:pStyle w:val="Heading1"/>
      </w:pPr>
      <w:r>
        <w:t>Nonprofit Governance Bundle (Draft)</w:t>
      </w:r>
    </w:p>
    <w:p>
      <w:r>
        <w:t>Five documents required for or supporting a Form 1023 filing.</w:t>
      </w:r>
    </w:p>
    <w:p/>
    <w:p>
      <w:pPr>
        <w:pStyle w:val="Heading2"/>
      </w:pPr>
      <w:r>
        <w:t>20.1 Articles of Incorporation (Draft skeleton)</w:t>
      </w:r>
    </w:p>
    <w:p>
      <w:r>
        <w:rPr>
          <w:b/>
        </w:rPr>
        <w:t>Article I — Name</w:t>
      </w:r>
      <w:r>
        <w:t>: Birthright Foundation.</w:t>
      </w:r>
    </w:p>
    <w:p>
      <w:r>
        <w:rPr>
          <w:b/>
        </w:rPr>
        <w:t>Article II — Purpose</w:t>
      </w:r>
      <w:r>
        <w:t>: The Corporation is organized exclusively for</w:t>
      </w:r>
    </w:p>
    <w:p>
      <w:r>
        <w:t>charitable and educational purposes within the meaning of Section</w:t>
      </w:r>
    </w:p>
    <w:p>
      <w:r>
        <w:t>501(c)(3) of the Internal Revenue Code. Its specific purpose is to</w:t>
      </w:r>
    </w:p>
    <w:p>
      <w:r>
        <w:t>educate, equip, and support individuals and communities in developing</w:t>
      </w:r>
    </w:p>
    <w:p>
      <w:r>
        <w:t>secure attachment and healthy relational bonds through workshops,</w:t>
      </w:r>
    </w:p>
    <w:p>
      <w:r>
        <w:t>publications, community programs, and related activities.</w:t>
      </w:r>
    </w:p>
    <w:p>
      <w:r>
        <w:rPr>
          <w:b/>
        </w:rPr>
        <w:t>Article III — Nonprofit Status</w:t>
      </w:r>
      <w:r>
        <w:t>: The Corporation is a nonprofit</w:t>
      </w:r>
    </w:p>
    <w:p>
      <w:r>
        <w:t>corporation. No part of the net earnings shall inure to the benefit of</w:t>
      </w:r>
    </w:p>
    <w:p>
      <w:r>
        <w:t>any private individual.</w:t>
      </w:r>
    </w:p>
    <w:p>
      <w:r>
        <w:rPr>
          <w:b/>
        </w:rPr>
        <w:t>Article IV — Political &amp; Legislative Activities</w:t>
      </w:r>
      <w:r>
        <w:t>: No substantial part</w:t>
      </w:r>
    </w:p>
    <w:p>
      <w:r>
        <w:t>of the Corporation's activities shall be carrying on propaganda or</w:t>
      </w:r>
    </w:p>
    <w:p>
      <w:r>
        <w:t>attempting to influence legislation. The Corporation shall not</w:t>
      </w:r>
    </w:p>
    <w:p>
      <w:r>
        <w:t>participate in any political campaign.</w:t>
      </w:r>
    </w:p>
    <w:p>
      <w:r>
        <w:rPr>
          <w:b/>
        </w:rPr>
        <w:t>Article V — Dissolution</w:t>
      </w:r>
      <w:r>
        <w:t>: Upon dissolution, assets shall be</w:t>
      </w:r>
    </w:p>
    <w:p>
      <w:r>
        <w:t>distributed for one or more exempt purposes under Section 501(c)(3) or</w:t>
      </w:r>
    </w:p>
    <w:p>
      <w:r>
        <w:t>to the federal, state, or local government for a public purpose.</w:t>
      </w:r>
    </w:p>
    <w:p>
      <w:r>
        <w:rPr>
          <w:b/>
        </w:rPr>
        <w:t>Article VI — Registered Agent</w:t>
      </w:r>
      <w:r>
        <w:t>: [TO BE COMPLETED BY COUNSEL].</w:t>
      </w:r>
    </w:p>
    <w:p>
      <w:r>
        <w:rPr>
          <w:b/>
        </w:rPr>
        <w:t>Article VII — Initial Directors</w:t>
      </w:r>
      <w:r>
        <w:t>: [NAMES / ADDRESSES BY COUNSEL].</w:t>
      </w:r>
    </w:p>
    <w:p/>
    <w:p>
      <w:pPr>
        <w:pStyle w:val="Heading2"/>
      </w:pPr>
      <w:r>
        <w:t>20.2 Bylaws (Draft skeleton)</w:t>
      </w:r>
    </w:p>
    <w:p>
      <w:r>
        <w:rPr>
          <w:b/>
        </w:rPr>
        <w:t>Article I — Offices</w:t>
      </w:r>
      <w:r>
        <w:t>. Principal office: [TBD].</w:t>
      </w:r>
    </w:p>
    <w:p>
      <w:r>
        <w:rPr>
          <w:b/>
        </w:rPr>
        <w:t>Article II — Members</w:t>
      </w:r>
      <w:r>
        <w:t>. The Corporation shall have no members. All</w:t>
      </w:r>
    </w:p>
    <w:p>
      <w:r>
        <w:t>governance authority is vested in the Board of Directors.</w:t>
      </w:r>
    </w:p>
    <w:p>
      <w:r>
        <w:rPr>
          <w:b/>
        </w:rPr>
        <w:t>Article III — Board of Directors</w:t>
      </w:r>
      <w:r>
        <w:t>.</w:t>
      </w:r>
    </w:p>
    <w:p>
      <w:pPr>
        <w:pStyle w:val="ListBullet"/>
      </w:pPr>
      <w:r>
        <w:t>Number: no fewer than 3, no more than 11.</w:t>
      </w:r>
    </w:p>
    <w:p>
      <w:pPr>
        <w:pStyle w:val="ListBullet"/>
      </w:pPr>
      <w:r>
        <w:t>Term: 2 years, staggered.</w:t>
      </w:r>
    </w:p>
    <w:p>
      <w:pPr>
        <w:pStyle w:val="ListBullet"/>
      </w:pPr>
      <w:r>
        <w:t>Election: by majority of the sitting Board.</w:t>
      </w:r>
    </w:p>
    <w:p>
      <w:pPr>
        <w:pStyle w:val="ListBullet"/>
      </w:pPr>
      <w:r>
        <w:t>Meetings: at least quarterly; annual meeting in January.</w:t>
      </w:r>
    </w:p>
    <w:p>
      <w:pPr>
        <w:pStyle w:val="ListBullet"/>
      </w:pPr>
      <w:r>
        <w:t>Quorum: majority of directors then in office.</w:t>
      </w:r>
    </w:p>
    <w:p>
      <w:pPr>
        <w:pStyle w:val="ListBullet"/>
      </w:pPr>
      <w:r>
        <w:t>Voting: majority of those present, unless a supermajority is required</w:t>
      </w:r>
    </w:p>
    <w:p>
      <w:r>
        <w:t>elsewhere in these Bylaws.</w:t>
      </w:r>
    </w:p>
    <w:p>
      <w:r>
        <w:rPr>
          <w:b/>
        </w:rPr>
        <w:t>Article IV — Officers</w:t>
      </w:r>
      <w:r>
        <w:t>. Chair, Vice Chair, Secretary, Treasurer.</w:t>
      </w:r>
    </w:p>
    <w:p>
      <w:r>
        <w:t>Terms of 1 year, elected annually by the Board.</w:t>
      </w:r>
    </w:p>
    <w:p>
      <w:r>
        <w:rPr>
          <w:b/>
        </w:rPr>
        <w:t>Article V — Committees</w:t>
      </w:r>
      <w:r>
        <w:t>. Standing committees: Finance, Governance,</w:t>
      </w:r>
    </w:p>
    <w:p>
      <w:r>
        <w:t>Ombudsman. Ad hoc committees as the Board deems necessary.</w:t>
      </w:r>
    </w:p>
    <w:p>
      <w:r>
        <w:rPr>
          <w:b/>
        </w:rPr>
        <w:t>Article VI — Indemnification</w:t>
      </w:r>
      <w:r>
        <w:t>. See separate Indemnification Policy.</w:t>
      </w:r>
    </w:p>
    <w:p>
      <w:r>
        <w:rPr>
          <w:b/>
        </w:rPr>
        <w:t>Article VII — Amendments</w:t>
      </w:r>
      <w:r>
        <w:t>. Bylaws may be amended by two-thirds vote</w:t>
      </w:r>
    </w:p>
    <w:p>
      <w:r>
        <w:t>of the Board.</w:t>
      </w:r>
    </w:p>
    <w:p/>
    <w:p>
      <w:pPr>
        <w:pStyle w:val="Heading2"/>
      </w:pPr>
      <w:r>
        <w:t>20.3 Conflict-of-Interest Policy (Draft)</w:t>
      </w:r>
    </w:p>
    <w:p>
      <w:r>
        <w:rPr>
          <w:b/>
        </w:rPr>
        <w:t>1. Purpose</w:t>
      </w:r>
      <w:r>
        <w:t>. Protect the Corporation's interest when it enters into a</w:t>
      </w:r>
    </w:p>
    <w:p>
      <w:r>
        <w:t>transaction or arrangement that might benefit the private interest of a</w:t>
      </w:r>
    </w:p>
    <w:p>
      <w:r>
        <w:t>director, officer, or key employee.</w:t>
      </w:r>
    </w:p>
    <w:p>
      <w:r>
        <w:rPr>
          <w:b/>
        </w:rPr>
        <w:t>2. Definition of Interest</w:t>
      </w:r>
      <w:r>
        <w:t>. A Financial Interest exists when a person</w:t>
      </w:r>
    </w:p>
    <w:p>
      <w:r>
        <w:t>has, directly or indirectly through business, investment, or family, an</w:t>
      </w:r>
    </w:p>
    <w:p>
      <w:r>
        <w:t>ownership or investment interest in an entity with which the Corporation</w:t>
      </w:r>
    </w:p>
    <w:p>
      <w:r>
        <w:t>transacts, or a compensation arrangement.</w:t>
      </w:r>
    </w:p>
    <w:p>
      <w:r>
        <w:rPr>
          <w:b/>
        </w:rPr>
        <w:t>3. Duty to Disclose</w:t>
      </w:r>
      <w:r>
        <w:t>. Interested persons must disclose the existence</w:t>
      </w:r>
    </w:p>
    <w:p>
      <w:r>
        <w:t>and nature of the Financial Interest.</w:t>
      </w:r>
    </w:p>
    <w:p>
      <w:r>
        <w:rPr>
          <w:b/>
        </w:rPr>
        <w:t>4. Recusal</w:t>
      </w:r>
      <w:r>
        <w:t>. Interested persons will not vote on the matter and may</w:t>
      </w:r>
    </w:p>
    <w:p>
      <w:r>
        <w:t>be asked to leave the meeting for the deliberation.</w:t>
      </w:r>
    </w:p>
    <w:p>
      <w:r>
        <w:rPr>
          <w:b/>
        </w:rPr>
        <w:t>5. Records</w:t>
      </w:r>
      <w:r>
        <w:t>. Board minutes will record the disclosure, the alternative</w:t>
      </w:r>
    </w:p>
    <w:p>
      <w:r>
        <w:t>transactions considered, and the vote.</w:t>
      </w:r>
    </w:p>
    <w:p>
      <w:r>
        <w:rPr>
          <w:b/>
        </w:rPr>
        <w:t>6. Annual Statements</w:t>
      </w:r>
      <w:r>
        <w:t>. Each director signs an annual conflict-of-</w:t>
      </w:r>
    </w:p>
    <w:p>
      <w:r>
        <w:t>interest disclosure statement.</w:t>
      </w:r>
    </w:p>
    <w:p/>
    <w:p>
      <w:pPr>
        <w:pStyle w:val="Heading2"/>
      </w:pPr>
      <w:r>
        <w:t>20.4 Whistleblower Policy (Draft)</w:t>
      </w:r>
    </w:p>
    <w:p>
      <w:r>
        <w:rPr>
          <w:b/>
        </w:rPr>
        <w:t>1. Purpose</w:t>
      </w:r>
      <w:r>
        <w:t>. Encourage good-faith reports of illegal or unethical</w:t>
      </w:r>
    </w:p>
    <w:p>
      <w:r>
        <w:t>conduct without fear of retaliation.</w:t>
      </w:r>
    </w:p>
    <w:p>
      <w:r>
        <w:rPr>
          <w:b/>
        </w:rPr>
        <w:t>2. Reporting Channels</w:t>
      </w:r>
      <w:r>
        <w:t>. Reports may be submitted to the Ombudsman</w:t>
      </w:r>
    </w:p>
    <w:p>
      <w:r>
        <w:t>(ombudsman@birthright.live), any Board member, or the Chair.</w:t>
      </w:r>
    </w:p>
    <w:p>
      <w:r>
        <w:rPr>
          <w:b/>
        </w:rPr>
        <w:t>3. Anti-Retaliation</w:t>
      </w:r>
      <w:r>
        <w:t>. No employee, contractor, volunteer, or partner</w:t>
      </w:r>
    </w:p>
    <w:p>
      <w:r>
        <w:t>will be terminated, demoted, harassed, or otherwise disadvantaged for</w:t>
      </w:r>
    </w:p>
    <w:p>
      <w:r>
        <w:t>making a good-faith report.</w:t>
      </w:r>
    </w:p>
    <w:p>
      <w:r>
        <w:rPr>
          <w:b/>
        </w:rPr>
        <w:t>4. Confidentiality</w:t>
      </w:r>
      <w:r>
        <w:t>. Reports are kept confidential to the extent</w:t>
      </w:r>
    </w:p>
    <w:p>
      <w:r>
        <w:t>possible.</w:t>
      </w:r>
    </w:p>
    <w:p>
      <w:r>
        <w:rPr>
          <w:b/>
        </w:rPr>
        <w:t>5. Investigation</w:t>
      </w:r>
      <w:r>
        <w:t>. Reports are investigated promptly by the</w:t>
      </w:r>
    </w:p>
    <w:p>
      <w:r>
        <w:t>Ombudsman or a designee.</w:t>
      </w:r>
    </w:p>
    <w:p>
      <w:r>
        <w:rPr>
          <w:b/>
        </w:rPr>
        <w:t>6. False Allegations</w:t>
      </w:r>
      <w:r>
        <w:t>. Knowingly false reports are subject to</w:t>
      </w:r>
    </w:p>
    <w:p>
      <w:r>
        <w:t>disciplinary action.</w:t>
      </w:r>
    </w:p>
    <w:p/>
    <w:p>
      <w:pPr>
        <w:pStyle w:val="Heading2"/>
      </w:pPr>
      <w:r>
        <w:t>20.5 Document Retention Policy (Draft)</w:t>
      </w:r>
    </w:p>
    <w:p>
      <w:r>
        <w:t>| Record type | Retention |</w:t>
      </w:r>
    </w:p>
    <w:p>
      <w:r>
        <w:t>|---|---|</w:t>
      </w:r>
    </w:p>
    <w:p>
      <w:r>
        <w:t>| Articles, Bylaws, minutes | Permanent |</w:t>
      </w:r>
    </w:p>
    <w:p>
      <w:r>
        <w:t>| Tax returns and supporting records | 7 years |</w:t>
      </w:r>
    </w:p>
    <w:p>
      <w:r>
        <w:t>| Financial statements and audits | Permanent |</w:t>
      </w:r>
    </w:p>
    <w:p>
      <w:r>
        <w:t>| Bank statements and reconciliations | 7 years |</w:t>
      </w:r>
    </w:p>
    <w:p>
      <w:r>
        <w:t>| Contracts and agreements | Term + 7 years |</w:t>
      </w:r>
    </w:p>
    <w:p>
      <w:r>
        <w:t>| Personnel and volunteer records | Term + 7 years |</w:t>
      </w:r>
    </w:p>
    <w:p>
      <w:r>
        <w:t>| Donor records | 7 years (or longer if grant conditions require) |</w:t>
      </w:r>
    </w:p>
    <w:p>
      <w:r>
        <w:t>| Community content (posts, DMs, disputes) | Per Privacy Policy §7 |</w:t>
      </w:r>
    </w:p>
    <w:p>
      <w:r>
        <w:t>| Payment records (Stripe) | 7 years |</w:t>
      </w:r>
    </w:p>
    <w:p>
      <w:r>
        <w:t>| Insurance policies | Permanent |</w:t>
      </w:r>
    </w:p>
    <w:p>
      <w:r>
        <w:t>| Real property records | Permanent |</w:t>
      </w:r>
    </w:p>
    <w:p>
      <w:r>
        <w:t>Records may be destroyed at the end of the retention period only after</w:t>
      </w:r>
    </w:p>
    <w:p>
      <w:r>
        <w:t>confirmation there is no pending litigation, audit, or investigation.</w:t>
      </w:r>
    </w:p>
    <w:p/>
    <w:p>
      <w:r>
        <w:t>_This document is an AI-generated first draft prepared for outside counsel</w:t>
      </w:r>
    </w:p>
    <w:p>
      <w:r>
        <w:t>review. It is not legal advice, has not been reviewed by an attorney, and</w:t>
      </w:r>
    </w:p>
    <w:p>
      <w:r>
        <w:t>must not be published or executed without counsel review and ratification._</w:t>
      </w:r>
    </w:p>
    <w:p/>
    <w:p>
      <w:pPr>
        <w:pStyle w:val="Heading2"/>
      </w:pPr>
      <w:r>
        <w:t>EU / UK Compliance Addendum</w:t>
      </w:r>
    </w:p>
    <w:p>
      <w:r>
        <w:t>This document was drafted with EU / UK regulatory alignment in mind. Where</w:t>
      </w:r>
    </w:p>
    <w:p>
      <w:r>
        <w:t>this document conflicts with mandatory rights of an EU or UK resident, the</w:t>
      </w:r>
    </w:p>
    <w:p>
      <w:r>
        <w:t>mandatory local rules prevail. In particular:</w:t>
      </w:r>
    </w:p>
    <w:p>
      <w:pPr>
        <w:pStyle w:val="ListBullet"/>
      </w:pPr>
      <w:r>
        <w:rPr>
          <w:b/>
        </w:rPr>
        <w:t>GDPR (EU) 2016/679 and UK GDPR</w:t>
      </w:r>
      <w:r>
        <w:t xml:space="preserve"> apply to processing of personal data</w:t>
      </w:r>
    </w:p>
    <w:p>
      <w:r>
        <w:t>of individuals in the EEA and UK. Where Birthright is the controller,</w:t>
      </w:r>
    </w:p>
    <w:p>
      <w:r>
        <w:t>the lawful bases relied on are: (i) contract necessity, (ii) legitimate</w:t>
      </w:r>
    </w:p>
    <w:p>
      <w:r>
        <w:t>interests (balanced by opt-out), (iii) consent (marketing and non-</w:t>
      </w:r>
    </w:p>
    <w:p>
      <w:r>
        <w:t>essential cookies), and (iv) legal obligation.</w:t>
      </w:r>
    </w:p>
    <w:p>
      <w:pPr>
        <w:pStyle w:val="ListBullet"/>
      </w:pPr>
      <w:r>
        <w:rPr>
          <w:b/>
        </w:rPr>
        <w:t>ePrivacy Directive (2002/58/EC as amended)</w:t>
      </w:r>
      <w:r>
        <w:t xml:space="preserve"> applies to cookies and</w:t>
      </w:r>
    </w:p>
    <w:p>
      <w:r>
        <w:t>similar tracking. Non-essential cookies require prior opt-in consent.</w:t>
      </w:r>
    </w:p>
    <w:p>
      <w:pPr>
        <w:pStyle w:val="ListBullet"/>
      </w:pPr>
      <w:r>
        <w:rPr>
          <w:b/>
        </w:rPr>
        <w:t>EU Consumer Rights Directive (2011/83/EU)</w:t>
      </w:r>
      <w:r>
        <w:t xml:space="preserve"> — EU/UK consumers have</w:t>
      </w:r>
    </w:p>
    <w:p>
      <w:r>
        <w:t>a 14-day right of withdrawal on distance sales of goods and most</w:t>
      </w:r>
    </w:p>
    <w:p>
      <w:r>
        <w:t>digital services. Where a workshop or digital product has been fully</w:t>
      </w:r>
    </w:p>
    <w:p>
      <w:r>
        <w:t>performed with the consumer's prior consent, the right may be lost.</w:t>
      </w:r>
    </w:p>
    <w:p>
      <w:pPr>
        <w:pStyle w:val="ListBullet"/>
      </w:pPr>
      <w:r>
        <w:rPr>
          <w:b/>
        </w:rPr>
        <w:t>Digital Services Act (Regulation 2022/2065)</w:t>
      </w:r>
      <w:r>
        <w:t xml:space="preserve"> applies to online</w:t>
      </w:r>
    </w:p>
    <w:p>
      <w:r>
        <w:t>intermediaries offering services in the EU; Birthright's community</w:t>
      </w:r>
    </w:p>
    <w:p>
      <w:r>
        <w:t>features (posts, DMs, disputes) fall within scope. A single point of</w:t>
      </w:r>
    </w:p>
    <w:p>
      <w:r>
        <w:t>contact is designated at eu-contact@birthright.live.</w:t>
      </w:r>
    </w:p>
    <w:p>
      <w:pPr>
        <w:pStyle w:val="ListBullet"/>
      </w:pPr>
      <w:r>
        <w:rPr>
          <w:b/>
        </w:rPr>
        <w:t>EU AI Act (Regulation 2024/1689)</w:t>
      </w:r>
      <w:r>
        <w:t xml:space="preserve"> applies to providers and deployers</w:t>
      </w:r>
    </w:p>
    <w:p>
      <w:r>
        <w:t>of AI systems affecting EU users. Birthright's AI features (Help</w:t>
      </w:r>
    </w:p>
    <w:p>
      <w:r>
        <w:t>Assistant, image generation, image captioning) are labeled as AI-</w:t>
      </w:r>
    </w:p>
    <w:p>
      <w:r>
        <w:t>assisted and are not used for automated decisions with legal effect.</w:t>
      </w:r>
    </w:p>
    <w:p>
      <w:pPr>
        <w:pStyle w:val="ListBullet"/>
      </w:pPr>
      <w:r>
        <w:rPr>
          <w:b/>
        </w:rPr>
        <w:t>Data transfers out of the EEA/UK/CH</w:t>
      </w:r>
      <w:r>
        <w:t xml:space="preserve"> rely on the EU Standard</w:t>
      </w:r>
    </w:p>
    <w:p>
      <w:r>
        <w:t>Contractual Clauses (2021/914) and the UK International Data Transfer</w:t>
      </w:r>
    </w:p>
    <w:p>
      <w:r>
        <w:t>Addendum, with a transfer-impact assessment on file for each sub-</w:t>
      </w:r>
    </w:p>
    <w:p>
      <w:r>
        <w:t>processor.</w:t>
      </w:r>
    </w:p>
    <w:p>
      <w:pPr>
        <w:pStyle w:val="ListBullet"/>
      </w:pPr>
      <w:r>
        <w:rPr>
          <w:b/>
        </w:rPr>
        <w:t>Data Protection Officer (DPO)</w:t>
      </w:r>
      <w:r>
        <w:t xml:space="preserve"> — Birthright will designate a DPO</w:t>
      </w:r>
    </w:p>
    <w:p>
      <w:r>
        <w:t>once threshold criteria under GDPR Art. 37 are met. Contact:</w:t>
      </w:r>
    </w:p>
    <w:p>
      <w:r>
        <w:t>dpo@birthright.live.</w:t>
      </w:r>
    </w:p>
    <w:p>
      <w:pPr>
        <w:pStyle w:val="ListBullet"/>
      </w:pPr>
      <w:r>
        <w:rPr>
          <w:b/>
        </w:rPr>
        <w:t>DSAR window</w:t>
      </w:r>
      <w:r>
        <w:t xml:space="preserve"> — subject access, rectification, erasure, portability,</w:t>
      </w:r>
    </w:p>
    <w:p>
      <w:r>
        <w:t xml:space="preserve">and objection requests are responded to within </w:t>
      </w:r>
      <w:r>
        <w:rPr>
          <w:b/>
        </w:rPr>
        <w:t>30 days</w:t>
      </w:r>
      <w:r>
        <w:t xml:space="preserve"> (extendable</w:t>
      </w:r>
    </w:p>
    <w:p>
      <w:r>
        <w:t>by 60 days for complex requests)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EU/UK residents may lodge a complaint with</w:t>
      </w:r>
    </w:p>
    <w:p>
      <w:r>
        <w:t>their local supervisory authority; a list is available at</w:t>
      </w:r>
    </w:p>
    <w:p>
      <w:hyperlink r:id="rId9">
        <w:r>
          <w:rPr>
            <w:color w:val="0563C1"/>
            <w:u w:val="single"/>
          </w:rPr>
          <w:t xml:space="preserve">https://edpb.europa.eu/about-edpb/about-edpb/members_en</w:t>
        </w:r>
      </w:hyperlink>
      <w:r>
        <w:t xml:space="preserve"> (EU) and</w:t>
      </w:r>
    </w:p>
    <w:p>
      <w:hyperlink r:id="rId10">
        <w:r>
          <w:rPr>
            <w:color w:val="0563C1"/>
            <w:u w:val="single"/>
          </w:rPr>
          <w:t xml:space="preserve">https://ico.org.uk</w:t>
        </w:r>
      </w:hyperlink>
      <w:r>
        <w:t xml:space="preserve"> (UK).</w:t>
      </w:r>
    </w:p>
    <w:p>
      <w:pPr>
        <w:pStyle w:val="ListBullet"/>
      </w:pPr>
      <w:r>
        <w:rPr>
          <w:b/>
        </w:rPr>
        <w:t>VAT</w:t>
      </w:r>
      <w:r>
        <w:t xml:space="preserve"> — Where Birthright's EU B2C digital-service or goods sales</w:t>
      </w:r>
    </w:p>
    <w:p>
      <w:r>
        <w:t>cross applicable thresholds, VAT registration (One-Stop-Shop or</w:t>
      </w:r>
    </w:p>
    <w:p>
      <w:r>
        <w:t>country-by-country) will be completed.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Record type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Retention</w:t>
            </w:r>
          </w:p>
        </w:tc>
      </w:tr>
      <w:tr>
        <w:tc>
          <w:tcPr>
            <w:tcW w:type="dxa" w:w="4824"/>
          </w:tcPr>
          <w:p>
            <w:r/>
            <w:r>
              <w:t>Articles, Bylaws, minutes</w:t>
            </w:r>
          </w:p>
        </w:tc>
        <w:tc>
          <w:tcPr>
            <w:tcW w:type="dxa" w:w="4824"/>
          </w:tcPr>
          <w:p>
            <w:r/>
            <w:r>
              <w:t>Permanent</w:t>
            </w:r>
          </w:p>
        </w:tc>
      </w:tr>
      <w:tr>
        <w:tc>
          <w:tcPr>
            <w:tcW w:type="dxa" w:w="4824"/>
          </w:tcPr>
          <w:p>
            <w:r/>
            <w:r>
              <w:t>Tax returns and supporting records</w:t>
            </w:r>
          </w:p>
        </w:tc>
        <w:tc>
          <w:tcPr>
            <w:tcW w:type="dxa" w:w="4824"/>
          </w:tcPr>
          <w:p>
            <w:r/>
            <w:r>
              <w:t>7 years</w:t>
            </w:r>
          </w:p>
        </w:tc>
      </w:tr>
      <w:tr>
        <w:tc>
          <w:tcPr>
            <w:tcW w:type="dxa" w:w="4824"/>
          </w:tcPr>
          <w:p>
            <w:r/>
            <w:r>
              <w:t>Financial statements and audits</w:t>
            </w:r>
          </w:p>
        </w:tc>
        <w:tc>
          <w:tcPr>
            <w:tcW w:type="dxa" w:w="4824"/>
          </w:tcPr>
          <w:p>
            <w:r/>
            <w:r>
              <w:t>Permanent</w:t>
            </w:r>
          </w:p>
        </w:tc>
      </w:tr>
      <w:tr>
        <w:tc>
          <w:tcPr>
            <w:tcW w:type="dxa" w:w="4824"/>
          </w:tcPr>
          <w:p>
            <w:r/>
            <w:r>
              <w:t>Bank statements and reconciliations</w:t>
            </w:r>
          </w:p>
        </w:tc>
        <w:tc>
          <w:tcPr>
            <w:tcW w:type="dxa" w:w="4824"/>
          </w:tcPr>
          <w:p>
            <w:r/>
            <w:r>
              <w:t>7 years</w:t>
            </w:r>
          </w:p>
        </w:tc>
      </w:tr>
      <w:tr>
        <w:tc>
          <w:tcPr>
            <w:tcW w:type="dxa" w:w="4824"/>
          </w:tcPr>
          <w:p>
            <w:r/>
            <w:r>
              <w:t>Contracts and agreements</w:t>
            </w:r>
          </w:p>
        </w:tc>
        <w:tc>
          <w:tcPr>
            <w:tcW w:type="dxa" w:w="4824"/>
          </w:tcPr>
          <w:p>
            <w:r/>
            <w:r>
              <w:t>Term + 7 years</w:t>
            </w:r>
          </w:p>
        </w:tc>
      </w:tr>
      <w:tr>
        <w:tc>
          <w:tcPr>
            <w:tcW w:type="dxa" w:w="4824"/>
          </w:tcPr>
          <w:p>
            <w:r/>
            <w:r>
              <w:t>Personnel and volunteer records</w:t>
            </w:r>
          </w:p>
        </w:tc>
        <w:tc>
          <w:tcPr>
            <w:tcW w:type="dxa" w:w="4824"/>
          </w:tcPr>
          <w:p>
            <w:r/>
            <w:r>
              <w:t>Term + 7 years</w:t>
            </w:r>
          </w:p>
        </w:tc>
      </w:tr>
      <w:tr>
        <w:tc>
          <w:tcPr>
            <w:tcW w:type="dxa" w:w="4824"/>
          </w:tcPr>
          <w:p>
            <w:r/>
            <w:r>
              <w:t>Donor records</w:t>
            </w:r>
          </w:p>
        </w:tc>
        <w:tc>
          <w:tcPr>
            <w:tcW w:type="dxa" w:w="4824"/>
          </w:tcPr>
          <w:p>
            <w:r/>
            <w:r>
              <w:t>7 years (or longer if grant conditions require)</w:t>
            </w:r>
          </w:p>
        </w:tc>
      </w:tr>
      <w:tr>
        <w:tc>
          <w:tcPr>
            <w:tcW w:type="dxa" w:w="4824"/>
          </w:tcPr>
          <w:p>
            <w:r/>
            <w:r>
              <w:t>Community content (posts, DMs, disputes)</w:t>
            </w:r>
          </w:p>
        </w:tc>
        <w:tc>
          <w:tcPr>
            <w:tcW w:type="dxa" w:w="4824"/>
          </w:tcPr>
          <w:p>
            <w:r/>
            <w:r>
              <w:t>Per Privacy Policy §7</w:t>
            </w:r>
          </w:p>
        </w:tc>
      </w:tr>
      <w:tr>
        <w:tc>
          <w:tcPr>
            <w:tcW w:type="dxa" w:w="4824"/>
          </w:tcPr>
          <w:p>
            <w:r/>
            <w:r>
              <w:t>Payment records (Stripe)</w:t>
            </w:r>
          </w:p>
        </w:tc>
        <w:tc>
          <w:tcPr>
            <w:tcW w:type="dxa" w:w="4824"/>
          </w:tcPr>
          <w:p>
            <w:r/>
            <w:r>
              <w:t>7 years</w:t>
            </w:r>
          </w:p>
        </w:tc>
      </w:tr>
      <w:tr>
        <w:tc>
          <w:tcPr>
            <w:tcW w:type="dxa" w:w="4824"/>
          </w:tcPr>
          <w:p>
            <w:r/>
            <w:r>
              <w:t>Insurance policies</w:t>
            </w:r>
          </w:p>
        </w:tc>
        <w:tc>
          <w:tcPr>
            <w:tcW w:type="dxa" w:w="4824"/>
          </w:tcPr>
          <w:p>
            <w:r/>
            <w:r>
              <w:t>Permanent</w:t>
            </w:r>
          </w:p>
        </w:tc>
      </w:tr>
      <w:tr>
        <w:tc>
          <w:tcPr>
            <w:tcW w:type="dxa" w:w="4824"/>
          </w:tcPr>
          <w:p>
            <w:r/>
            <w:r>
              <w:t>Real property records</w:t>
            </w:r>
          </w:p>
        </w:tc>
        <w:tc>
          <w:tcPr>
            <w:tcW w:type="dxa" w:w="4824"/>
          </w:tcPr>
          <w:p>
            <w:r/>
            <w:r>
              <w:t>Permanent</w:t>
            </w:r>
          </w:p>
        </w:tc>
      </w:tr>
    </w:tbl>
    <w:p/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/about-edpb/about-edpb/members_en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