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State Charitable Solicitation Registration Plan (Draft)</w:t>
      </w:r>
    </w:p>
    <w:p>
      <w:pPr>
        <w:pStyle w:val="Heading2"/>
      </w:pPr>
      <w:r>
        <w:t>1. Background</w:t>
      </w:r>
    </w:p>
    <w:p>
      <w:r>
        <w:t>Most U.S. states require nonprofits soliciting donations from residents</w:t>
      </w:r>
    </w:p>
    <w:p>
      <w:r>
        <w:t>to register with a state agency (typically the Attorney General or</w:t>
      </w:r>
    </w:p>
    <w:p>
      <w:r>
        <w:t>Secretary of State) before soliciting.</w:t>
      </w:r>
    </w:p>
    <w:p>
      <w:pPr>
        <w:pStyle w:val="Heading2"/>
      </w:pPr>
      <w:r>
        <w:t>2. Solicitation Method</w:t>
      </w:r>
    </w:p>
    <w:p>
      <w:r>
        <w:t>Birthright solicits online (birthright.live/support, /sponsor, /donate)</w:t>
      </w:r>
    </w:p>
    <w:p>
      <w:r>
        <w:t>which reaches residents of every state that permits online use. Under</w:t>
      </w:r>
    </w:p>
    <w:p>
      <w:r>
        <w:t>the "Unified Registration Statement" and interpretive guidance,</w:t>
      </w:r>
    </w:p>
    <w:p>
      <w:r>
        <w:t>web-based solicitation generally triggers registration in states with</w:t>
      </w:r>
    </w:p>
    <w:p>
      <w:r>
        <w:t>a solicitation statute.</w:t>
      </w:r>
    </w:p>
    <w:p>
      <w:pPr>
        <w:pStyle w:val="Heading2"/>
      </w:pPr>
      <w:r>
        <w:t>3. Action Items</w:t>
      </w:r>
    </w:p>
    <w:p>
      <w:pPr>
        <w:pStyle w:val="ListNumber"/>
      </w:pPr>
      <w:r>
        <w:t>Wait until 501(c)(3) determination letter is received (registration</w:t>
      </w:r>
    </w:p>
    <w:p>
      <w:r>
        <w:t>applications typically require it).</w:t>
      </w:r>
    </w:p>
    <w:p>
      <w:pPr>
        <w:pStyle w:val="ListNumber"/>
      </w:pPr>
      <w:r>
        <w:t>Register in the following priority states first (states with the</w:t>
      </w:r>
    </w:p>
    <w:p>
      <w:r>
        <w:t>largest online donation history from our Stripe data):</w:t>
      </w:r>
    </w:p>
    <w:p>
      <w:pPr>
        <w:pStyle w:val="ListBullet"/>
      </w:pPr>
      <w:r>
        <w:t>California, New York, Florida, Texas, Massachusetts,</w:t>
      </w:r>
    </w:p>
    <w:p>
      <w:r>
        <w:t>Pennsylvania, Illinois — as a starting set.</w:t>
      </w:r>
    </w:p>
    <w:p>
      <w:pPr>
        <w:pStyle w:val="ListNumber"/>
      </w:pPr>
      <w:r>
        <w:t>Consider the Unified Registration Statement for states that accept</w:t>
      </w:r>
    </w:p>
    <w:p>
      <w:r>
        <w:t>it.</w:t>
      </w:r>
    </w:p>
    <w:p>
      <w:pPr>
        <w:pStyle w:val="ListNumber"/>
      </w:pPr>
      <w:r>
        <w:t>Track annual renewal deadlines per state.</w:t>
      </w:r>
    </w:p>
    <w:p>
      <w:pPr>
        <w:pStyle w:val="ListNumber"/>
      </w:pPr>
      <w:r>
        <w:t>Add a state-specific disclosure block to donation receipts and to</w:t>
      </w:r>
    </w:p>
    <w:p>
      <w:r>
        <w:t>the /support page.</w:t>
      </w:r>
    </w:p>
    <w:p>
      <w:pPr>
        <w:pStyle w:val="Heading2"/>
      </w:pPr>
      <w:r>
        <w:t>4. Disclosure Blocks (samples)</w:t>
      </w:r>
    </w:p>
    <w:p>
      <w:pPr>
        <w:pStyle w:val="ListBullet"/>
      </w:pPr>
      <w:r>
        <w:t>Florida: "A COPY OF THE OFFICIAL REGISTRATION AND FINANCIAL</w:t>
      </w:r>
    </w:p>
    <w:p>
      <w:r>
        <w:t>INFORMATION MAY BE OBTAINED FROM THE DIVISION OF CONSUMER SERVICES</w:t>
      </w:r>
    </w:p>
    <w:p>
      <w:r>
        <w:t>BY CALLING TOLL-FREE 1-800-HELP-FLA…"</w:t>
      </w:r>
    </w:p>
    <w:p>
      <w:pPr>
        <w:pStyle w:val="ListBullet"/>
      </w:pPr>
      <w:r>
        <w:t>New York: "A copy of the latest annual report may be obtained from</w:t>
      </w:r>
    </w:p>
    <w:p>
      <w:r>
        <w:t>the organization or from the Office of the Attorney General…"</w:t>
      </w:r>
    </w:p>
    <w:p>
      <w:pPr>
        <w:pStyle w:val="ListBullet"/>
      </w:pPr>
      <w:r>
        <w:t>(Full block library to be compiled by counsel or a specialist vendor</w:t>
      </w:r>
    </w:p>
    <w:p>
      <w:r>
        <w:t>such as Harbor Compliance.)</w:t>
      </w:r>
    </w:p>
    <w:p>
      <w:pPr>
        <w:pStyle w:val="Heading2"/>
      </w:pPr>
      <w:r>
        <w:t>5. Vendor Option</w:t>
      </w:r>
    </w:p>
    <w:p>
      <w:r>
        <w:t>Consider engaging a compliance vendor (Harbor Compliance, Labyrinth, or</w:t>
      </w:r>
    </w:p>
    <w:p>
      <w:r>
        <w:t>Foundation Group) to manage annual filings; cost typically $50–$150 per</w:t>
      </w:r>
    </w:p>
    <w:p>
      <w:r>
        <w:t>state per year plus one-time onboarding.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