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Cookie &amp; Tracking Notice</w:t>
      </w:r>
    </w:p>
    <w:p>
      <w:r>
        <w:rPr>
          <w:b/>
        </w:rPr>
        <w:t>Effective date:</w:t>
      </w:r>
      <w:r>
        <w:t xml:space="preserve"> February 2026. This notice explains the cookies</w:t>
      </w:r>
    </w:p>
    <w:p>
      <w:r>
        <w:t>and similar technologies we use on birthright.live.</w:t>
      </w:r>
    </w:p>
    <w:p>
      <w:pPr>
        <w:pStyle w:val="Heading2"/>
      </w:pPr>
      <w:r>
        <w:t>1. Categories We Use</w:t>
      </w:r>
    </w:p>
    <w:p>
      <w:pPr>
        <w:pStyle w:val="ListBullet"/>
      </w:pPr>
      <w:r>
        <w:rPr>
          <w:b/>
        </w:rPr>
        <w:t>Strictly necessary</w:t>
      </w:r>
      <w:r>
        <w:t xml:space="preserve"> (always on) — sign-in session, shopping cart,</w:t>
      </w:r>
    </w:p>
    <w:p>
      <w:r>
        <w:t>CSRF protection, load balancing. Cannot be disabled without breaking</w:t>
      </w:r>
    </w:p>
    <w:p>
      <w:r>
        <w:t>the site.</w:t>
      </w:r>
    </w:p>
    <w:p>
      <w:pPr>
        <w:pStyle w:val="ListBullet"/>
      </w:pPr>
      <w:r>
        <w:rPr>
          <w:b/>
        </w:rPr>
        <w:t>Preferences</w:t>
      </w:r>
      <w:r>
        <w:t xml:space="preserve"> — remember your consent choices and locale.</w:t>
      </w:r>
    </w:p>
    <w:p>
      <w:pPr>
        <w:pStyle w:val="ListBullet"/>
      </w:pPr>
      <w:r>
        <w:rPr>
          <w:b/>
        </w:rPr>
        <w:t>Analytics</w:t>
      </w:r>
      <w:r>
        <w:t xml:space="preserve"> (only with your consent) — anonymised page-view and</w:t>
      </w:r>
    </w:p>
    <w:p>
      <w:r>
        <w:t>performance metrics so we can improve the site.</w:t>
      </w:r>
    </w:p>
    <w:p>
      <w:pPr>
        <w:pStyle w:val="ListBullet"/>
      </w:pPr>
      <w:r>
        <w:rPr>
          <w:b/>
        </w:rPr>
        <w:t>No advertising cookies.</w:t>
      </w:r>
      <w:r>
        <w:t xml:space="preserve"> We do not run behavioural ad networks.</w:t>
      </w:r>
    </w:p>
    <w:p>
      <w:pPr>
        <w:pStyle w:val="Heading2"/>
      </w:pPr>
      <w:r>
        <w:t>2. Your Controls</w:t>
      </w:r>
    </w:p>
    <w:p>
      <w:pPr>
        <w:pStyle w:val="ListBullet"/>
      </w:pPr>
      <w:r>
        <w:t>The consent banner on your first visit lets you accept all or</w:t>
      </w:r>
    </w:p>
    <w:p>
      <w:r>
        <w:t>reject non-essential cookies. You can change your choice any time</w:t>
      </w:r>
    </w:p>
    <w:p>
      <w:r>
        <w:t xml:space="preserve">via </w:t>
      </w:r>
      <w:r>
        <w:rPr>
          <w:b/>
        </w:rPr>
        <w:t>Cookie Settings</w:t>
      </w:r>
      <w:r>
        <w:t xml:space="preserve"> in the site footer.</w:t>
      </w:r>
    </w:p>
    <w:p>
      <w:pPr>
        <w:pStyle w:val="ListBullet"/>
      </w:pPr>
      <w:r>
        <w:t>Your browser lets you delete cookies or block them by site.</w:t>
      </w:r>
    </w:p>
    <w:p>
      <w:pPr>
        <w:pStyle w:val="ListBullet"/>
      </w:pPr>
      <w:r>
        <w:t>We honour Global Privacy Control (GPC) signals.</w:t>
      </w:r>
    </w:p>
    <w:p>
      <w:pPr>
        <w:pStyle w:val="Heading2"/>
      </w:pPr>
      <w:r>
        <w:t>3. Third-Party Providers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Provider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Cookie type</w:t>
            </w:r>
          </w:p>
        </w:tc>
      </w:tr>
      <w:tr>
        <w:tc>
          <w:tcPr>
            <w:tcW w:type="dxa" w:w="3216"/>
          </w:tcPr>
          <w:p>
            <w:r/>
            <w:r>
              <w:t>Payment</w:t>
            </w:r>
          </w:p>
        </w:tc>
        <w:tc>
          <w:tcPr>
            <w:tcW w:type="dxa" w:w="3216"/>
          </w:tcPr>
          <w:p>
            <w:r/>
            <w:r>
              <w:t>Stripe</w:t>
            </w:r>
          </w:p>
        </w:tc>
        <w:tc>
          <w:tcPr>
            <w:tcW w:type="dxa" w:w="3216"/>
          </w:tcPr>
          <w:p>
            <w:r/>
            <w:r>
              <w:t>Necessary</w:t>
            </w:r>
          </w:p>
        </w:tc>
      </w:tr>
      <w:tr>
        <w:tc>
          <w:tcPr>
            <w:tcW w:type="dxa" w:w="3216"/>
          </w:tcPr>
          <w:p>
            <w:r/>
            <w:r>
              <w:t>Session security</w:t>
            </w:r>
          </w:p>
        </w:tc>
        <w:tc>
          <w:tcPr>
            <w:tcW w:type="dxa" w:w="3216"/>
          </w:tcPr>
          <w:p>
            <w:r/>
            <w:r>
              <w:t>Cloudflare</w:t>
            </w:r>
          </w:p>
        </w:tc>
        <w:tc>
          <w:tcPr>
            <w:tcW w:type="dxa" w:w="3216"/>
          </w:tcPr>
          <w:p>
            <w:r/>
            <w:r>
              <w:t>Necessary</w:t>
            </w:r>
          </w:p>
        </w:tc>
      </w:tr>
      <w:tr>
        <w:tc>
          <w:tcPr>
            <w:tcW w:type="dxa" w:w="3216"/>
          </w:tcPr>
          <w:p>
            <w:r/>
            <w:r>
              <w:t>Product analytics</w:t>
            </w:r>
          </w:p>
        </w:tc>
        <w:tc>
          <w:tcPr>
            <w:tcW w:type="dxa" w:w="3216"/>
          </w:tcPr>
          <w:p>
            <w:r/>
            <w:r>
              <w:t>(Self-hosted)</w:t>
            </w:r>
          </w:p>
        </w:tc>
        <w:tc>
          <w:tcPr>
            <w:tcW w:type="dxa" w:w="3216"/>
          </w:tcPr>
          <w:p>
            <w:r/>
            <w:r>
              <w:t>Analytics (opt-in)</w:t>
            </w:r>
          </w:p>
        </w:tc>
      </w:tr>
    </w:tbl>
    <w:p/>
    <w:p>
      <w:pPr>
        <w:pStyle w:val="Heading2"/>
      </w:pPr>
      <w:r>
        <w:t>4. Retention</w:t>
      </w:r>
    </w:p>
    <w:p>
      <w:r>
        <w:t>Session cookies expire when you close the browser. Persistent cookies</w:t>
      </w:r>
    </w:p>
    <w:p>
      <w:r>
        <w:t>expire in ≤ 12 months. Consent records: kept for 24 months to prove</w:t>
      </w:r>
    </w:p>
    <w:p>
      <w:r>
        <w:t>compliance.</w:t>
      </w:r>
    </w:p>
    <w:p>
      <w:pPr>
        <w:pStyle w:val="Heading2"/>
      </w:pPr>
      <w:r>
        <w:t>5. Contact</w:t>
      </w:r>
    </w:p>
    <w:p>
      <w:r>
        <w:t>privacy@birthright.live.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</w:t>
      </w:r>
    </w:p>
    <w:p>
      <w:r>
        <w:t>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</w:t>
      </w:r>
    </w:p>
    <w:p>
      <w:r>
        <w:t>processing. Lawful bases: contract necessity, legitimate interests</w:t>
      </w:r>
    </w:p>
    <w:p>
      <w:r>
        <w:t>(with opt-out), consent (marketing / non-essential cookies), and</w:t>
      </w:r>
    </w:p>
    <w:p>
      <w:r>
        <w:t>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</w:t>
      </w:r>
    </w:p>
    <w:p>
      <w:r>
        <w:t>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</w:t>
      </w:r>
    </w:p>
    <w:p>
      <w:r>
        <w:t>withdrawal on distance sales of goods and most digital services.</w:t>
      </w:r>
    </w:p>
    <w:p>
      <w:r>
        <w:t>Fully-performed digital content with prior consent may lose that</w:t>
      </w:r>
    </w:p>
    <w:p>
      <w:r>
        <w:t>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</w:t>
      </w:r>
    </w:p>
    <w:p>
      <w:r>
        <w:t>(posts, DMs, disputes) fall in scope. Single point of contact:</w:t>
      </w:r>
    </w:p>
    <w:p>
      <w:r>
        <w:t>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</w:t>
      </w:r>
    </w:p>
    <w:p>
      <w:r>
        <w:t>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</w:t>
      </w:r>
    </w:p>
    <w:p>
      <w:r>
        <w:t>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</w:t>
      </w:r>
    </w:p>
    <w:p>
      <w:r>
        <w:t>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