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288"/>
      </w:pPr>
      <w:r>
        <w:rPr>
          <w:i/>
          <w:color w:val="7C5316"/>
        </w:rPr>
        <w:t>**FIRST DRAFT — PENDING COUNSEL RATIFICATION**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This document is a first draft prepared for outside counsel review.</w:t>
      </w:r>
    </w:p>
    <w:p>
      <w:pPr>
        <w:ind w:left="288"/>
      </w:pPr>
      <w:r>
        <w:rPr>
          <w:i/>
          <w:color w:val="7C5316"/>
        </w:rPr>
        <w:t>It uses accepted standard language for its type and is intended to</w:t>
      </w:r>
    </w:p>
    <w:p>
      <w:pPr>
        <w:ind w:left="288"/>
      </w:pPr>
      <w:r>
        <w:rPr>
          <w:i/>
          <w:color w:val="7C5316"/>
        </w:rPr>
        <w:t>be published in this form after ratification. Until counsel signs</w:t>
      </w:r>
    </w:p>
    <w:p>
      <w:pPr>
        <w:ind w:left="288"/>
      </w:pPr>
      <w:r>
        <w:rPr>
          <w:i/>
          <w:color w:val="7C5316"/>
        </w:rPr>
        <w:t>off, treat any specific figure, warranty, or jurisdictional choice</w:t>
      </w:r>
    </w:p>
    <w:p>
      <w:pPr>
        <w:ind w:left="288"/>
      </w:pPr>
      <w:r>
        <w:rPr>
          <w:i/>
          <w:color w:val="7C5316"/>
        </w:rPr>
        <w:t>as tentative.</w:t>
      </w:r>
    </w:p>
    <w:p>
      <w:r>
        <w:t>&gt;</w:t>
      </w:r>
    </w:p>
    <w:p>
      <w:pPr>
        <w:ind w:left="288"/>
      </w:pPr>
      <w:r>
        <w:rPr>
          <w:i/>
          <w:color w:val="7C5316"/>
        </w:rPr>
        <w:t>Version: February 2026 · Birthright Foundation (birthright.live) ·</w:t>
      </w:r>
    </w:p>
    <w:p>
      <w:pPr>
        <w:ind w:left="288"/>
      </w:pPr>
      <w:r>
        <w:rPr>
          <w:i/>
          <w:color w:val="7C5316"/>
        </w:rPr>
        <w:t>Executive Director: James Reagan · Contact: legal@birthright.live</w:t>
      </w:r>
    </w:p>
    <w:p>
      <w:pPr>
        <w:pStyle w:val="Heading1"/>
      </w:pPr>
      <w:r>
        <w:t>Community Partner Referral Agreement</w:t>
      </w:r>
    </w:p>
    <w:p>
      <w:r>
        <w:rPr>
          <w:b/>
        </w:rPr>
        <w:t>Parties:</w:t>
      </w:r>
      <w:r>
        <w:t xml:space="preserve"> Birthright Foundation ("Birthright") and the</w:t>
      </w:r>
    </w:p>
    <w:p>
      <w:r>
        <w:t>organisation identified below ("Partner").</w:t>
      </w:r>
    </w:p>
    <w:p>
      <w:pPr>
        <w:pStyle w:val="Heading2"/>
      </w:pPr>
      <w:r>
        <w:t>1. Independent Contractor</w:t>
      </w:r>
    </w:p>
    <w:p>
      <w:r>
        <w:t xml:space="preserve">Partner is an </w:t>
      </w:r>
      <w:r>
        <w:rPr>
          <w:b/>
        </w:rPr>
        <w:t>independent contractor</w:t>
      </w:r>
      <w:r>
        <w:t>. This agreement creates no</w:t>
      </w:r>
    </w:p>
    <w:p>
      <w:r>
        <w:t>employment, agency, or joint venture.</w:t>
      </w:r>
    </w:p>
    <w:p>
      <w:pPr>
        <w:pStyle w:val="Heading2"/>
      </w:pPr>
      <w:r>
        <w:t>2. Referral Programme</w:t>
      </w:r>
    </w:p>
    <w:p>
      <w:r>
        <w:t>Partner will refer members of its community to Birthright workshops,</w:t>
      </w:r>
    </w:p>
    <w:p>
      <w:r>
        <w:t>products, or programmes using the referral code issued by Birthright.</w:t>
      </w:r>
    </w:p>
    <w:p>
      <w:pPr>
        <w:pStyle w:val="Heading2"/>
      </w:pPr>
      <w:r>
        <w:t>3. Compensation</w:t>
      </w:r>
    </w:p>
    <w:p>
      <w:r>
        <w:t xml:space="preserve">Birthright pays Partner </w:t>
      </w:r>
      <w:r>
        <w:rPr>
          <w:b/>
        </w:rPr>
        <w:t>25% of net revenue</w:t>
      </w:r>
      <w:r>
        <w:t xml:space="preserve"> from purchases</w:t>
      </w:r>
    </w:p>
    <w:p>
      <w:r>
        <w:t>attributed to Partner's referral code, unless otherwise agreed in</w:t>
      </w:r>
    </w:p>
    <w:p>
      <w:r>
        <w:t>writing. Attribution runs 30 days from the referred visitor's first</w:t>
      </w:r>
    </w:p>
    <w:p>
      <w:r>
        <w:t>click. "Net" excludes taxes, processing fees, refunds, and chargebacks.</w:t>
      </w:r>
    </w:p>
    <w:p>
      <w:pPr>
        <w:pStyle w:val="Heading2"/>
      </w:pPr>
      <w:r>
        <w:t>4. Payouts</w:t>
      </w:r>
    </w:p>
    <w:p>
      <w:r>
        <w:t>Monthly payouts when Partner's balance exceeds US $50. Partner</w:t>
      </w:r>
    </w:p>
    <w:p>
      <w:r>
        <w:t>provides a W-9 (or W-8BEN) before the first payout.</w:t>
      </w:r>
    </w:p>
    <w:p>
      <w:pPr>
        <w:pStyle w:val="Heading2"/>
      </w:pPr>
      <w:r>
        <w:t>5. Marketing Standards</w:t>
      </w:r>
    </w:p>
    <w:p>
      <w:r>
        <w:t>Partner will use Birthright's approved copy or clearly identify</w:t>
      </w:r>
    </w:p>
    <w:p>
      <w:r>
        <w:t>their communications as their own. Partner will not (a) spam,</w:t>
      </w:r>
    </w:p>
    <w:p>
      <w:r>
        <w:t>(b) use false or misleading claims, (c) bid on Birthright's</w:t>
      </w:r>
    </w:p>
    <w:p>
      <w:r>
        <w:t>trademarks in paid search, or (d) place referral links on adult or</w:t>
      </w:r>
    </w:p>
    <w:p>
      <w:r>
        <w:t>unlawful sites.</w:t>
      </w:r>
    </w:p>
    <w:p>
      <w:pPr>
        <w:pStyle w:val="Heading2"/>
      </w:pPr>
      <w:r>
        <w:t>6. Term &amp; Termination</w:t>
      </w:r>
    </w:p>
    <w:p>
      <w:r>
        <w:t>Either party may terminate on 30 days' written notice or immediately</w:t>
      </w:r>
    </w:p>
    <w:p>
      <w:r>
        <w:t>for material breach. On termination, earnings accrued before the</w:t>
      </w:r>
    </w:p>
    <w:p>
      <w:r>
        <w:t>termination date will be paid on the next scheduled cycle.</w:t>
      </w:r>
    </w:p>
    <w:p>
      <w:pPr>
        <w:pStyle w:val="Heading2"/>
      </w:pPr>
      <w:r>
        <w:t>7. Intellectual Property</w:t>
      </w:r>
    </w:p>
    <w:p>
      <w:r>
        <w:t>Partner may use the Birthright name and marks solely to describe the</w:t>
      </w:r>
    </w:p>
    <w:p>
      <w:r>
        <w:t>referral relationship, subject to our brand guidelines.</w:t>
      </w:r>
    </w:p>
    <w:p>
      <w:pPr>
        <w:pStyle w:val="Heading2"/>
      </w:pPr>
      <w:r>
        <w:t>8. Indemnity</w:t>
      </w:r>
    </w:p>
    <w:p>
      <w:r>
        <w:t>Each party indemnifies the other for third-party claims arising from</w:t>
      </w:r>
    </w:p>
    <w:p>
      <w:r>
        <w:t>its own acts or omissions or breach of this agreement.</w:t>
      </w:r>
    </w:p>
    <w:p>
      <w:pPr>
        <w:pStyle w:val="Heading2"/>
      </w:pPr>
      <w:r>
        <w:t>9. Governing Law</w:t>
      </w:r>
    </w:p>
    <w:p>
      <w:r>
        <w:t>North Carolina, USA.</w:t>
      </w:r>
    </w:p>
    <w:p/>
    <w:p>
      <w:r>
        <w:t>*First draft — pending counsel ratification. Comments to</w:t>
      </w:r>
    </w:p>
    <w:p>
      <w:r>
        <w:t>legal@birthright.live.*</w:t>
      </w:r>
    </w:p>
    <w:p/>
    <w:p>
      <w:pPr>
        <w:pStyle w:val="Heading2"/>
      </w:pPr>
      <w:r>
        <w:t>EU / UK Compliance Addendum</w:t>
      </w:r>
    </w:p>
    <w:p>
      <w:r>
        <w:t>Where an EU or UK resident's mandatory local rights conflict with this</w:t>
      </w:r>
    </w:p>
    <w:p>
      <w:r>
        <w:t>document, the local rules prevail. Key points:</w:t>
      </w:r>
    </w:p>
    <w:p>
      <w:pPr>
        <w:pStyle w:val="ListBullet"/>
      </w:pPr>
      <w:r>
        <w:rPr>
          <w:b/>
        </w:rPr>
        <w:t>GDPR (EU) 2016/679</w:t>
      </w:r>
      <w:r>
        <w:t xml:space="preserve"> and </w:t>
      </w:r>
      <w:r>
        <w:rPr>
          <w:b/>
        </w:rPr>
        <w:t>UK GDPR</w:t>
      </w:r>
      <w:r>
        <w:t xml:space="preserve"> govern personal-data</w:t>
      </w:r>
    </w:p>
    <w:p>
      <w:r>
        <w:t>processing. Lawful bases: contract necessity, legitimate interests</w:t>
      </w:r>
    </w:p>
    <w:p>
      <w:r>
        <w:t>(with opt-out), consent (marketing / non-essential cookies), and</w:t>
      </w:r>
    </w:p>
    <w:p>
      <w:r>
        <w:t>legal obligation.</w:t>
      </w:r>
    </w:p>
    <w:p>
      <w:pPr>
        <w:pStyle w:val="ListBullet"/>
      </w:pPr>
      <w:r>
        <w:rPr>
          <w:b/>
        </w:rPr>
        <w:t>ePrivacy Directive (2002/58/EC)</w:t>
      </w:r>
      <w:r>
        <w:t xml:space="preserve"> — non-essential cookies require</w:t>
      </w:r>
    </w:p>
    <w:p>
      <w:r>
        <w:t>prior opt-in consent (see our Cookie Notice).</w:t>
      </w:r>
    </w:p>
    <w:p>
      <w:pPr>
        <w:pStyle w:val="ListBullet"/>
      </w:pPr>
      <w:r>
        <w:rPr>
          <w:b/>
        </w:rPr>
        <w:t>Consumer Rights Directive (2011/83/EU)</w:t>
      </w:r>
      <w:r>
        <w:t xml:space="preserve"> — 14-day right of</w:t>
      </w:r>
    </w:p>
    <w:p>
      <w:r>
        <w:t>withdrawal on distance sales of goods and most digital services.</w:t>
      </w:r>
    </w:p>
    <w:p>
      <w:r>
        <w:t>Fully-performed digital content with prior consent may lose that</w:t>
      </w:r>
    </w:p>
    <w:p>
      <w:r>
        <w:t>right.</w:t>
      </w:r>
    </w:p>
    <w:p>
      <w:pPr>
        <w:pStyle w:val="ListBullet"/>
      </w:pPr>
      <w:r>
        <w:rPr>
          <w:b/>
        </w:rPr>
        <w:t>Digital Services Act (Reg. 2022/2065)</w:t>
      </w:r>
      <w:r>
        <w:t xml:space="preserve"> — community features</w:t>
      </w:r>
    </w:p>
    <w:p>
      <w:r>
        <w:t>(posts, DMs, disputes) fall in scope. Single point of contact:</w:t>
      </w:r>
    </w:p>
    <w:p>
      <w:r>
        <w:t>eu-contact@birthright.live.</w:t>
      </w:r>
    </w:p>
    <w:p>
      <w:pPr>
        <w:pStyle w:val="ListBullet"/>
      </w:pPr>
      <w:r>
        <w:rPr>
          <w:b/>
        </w:rPr>
        <w:t>Cross-border transfers</w:t>
      </w:r>
      <w:r>
        <w:t xml:space="preserve"> — EU SCCs (2021/914) + UK IDTA with a</w:t>
      </w:r>
    </w:p>
    <w:p>
      <w:r>
        <w:t>transfer-impact assessment per sub-processor.</w:t>
      </w:r>
    </w:p>
    <w:p>
      <w:pPr>
        <w:pStyle w:val="ListBullet"/>
      </w:pPr>
      <w:r>
        <w:rPr>
          <w:b/>
        </w:rPr>
        <w:t>DSAR window</w:t>
      </w:r>
      <w:r>
        <w:t xml:space="preserve"> — 30 days (extendable to 90) at</w:t>
      </w:r>
    </w:p>
    <w:p>
      <w:r>
        <w:t>privacy@birthright.live.</w:t>
      </w:r>
    </w:p>
    <w:p>
      <w:pPr>
        <w:pStyle w:val="ListBullet"/>
      </w:pPr>
      <w:r>
        <w:rPr>
          <w:b/>
        </w:rPr>
        <w:t>Supervisory authority</w:t>
      </w:r>
      <w:r>
        <w:t xml:space="preserve"> — EU: your national DPA</w:t>
      </w:r>
    </w:p>
    <w:p>
      <w:r>
        <w:t>(</w:t>
      </w:r>
      <w:hyperlink r:id="rId9">
        <w:r>
          <w:rPr>
            <w:color w:val="0563C1"/>
            <w:u w:val="single"/>
          </w:rPr>
          <w:t xml:space="preserve">https://edpb.europa.eu</w:t>
        </w:r>
      </w:hyperlink>
      <w:r>
        <w:t>). UK: ICO (</w:t>
      </w:r>
      <w:hyperlink r:id="rId10">
        <w:r>
          <w:rPr>
            <w:color w:val="0563C1"/>
            <w:u w:val="single"/>
          </w:rPr>
          <w:t xml:space="preserve">https://ico.org.uk</w:t>
        </w:r>
      </w:hyperlink>
      <w:r>
        <w:t>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dpb.europa.eu" TargetMode="External"/><Relationship Id="rId10" Type="http://schemas.openxmlformats.org/officeDocument/2006/relationships/hyperlink" Target="https://ico.org.u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