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left="288"/>
      </w:pPr>
      <w:r>
        <w:rPr>
          <w:i/>
          <w:color w:val="7C5316"/>
        </w:rPr>
        <w:t>**FIRST DRAFT — PENDING COUNSEL RATIFICATION**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This document is a first draft prepared for outside counsel review.</w:t>
      </w:r>
    </w:p>
    <w:p>
      <w:pPr>
        <w:ind w:left="288"/>
      </w:pPr>
      <w:r>
        <w:rPr>
          <w:i/>
          <w:color w:val="7C5316"/>
        </w:rPr>
        <w:t>It uses accepted standard language for its type and is intended to</w:t>
      </w:r>
    </w:p>
    <w:p>
      <w:pPr>
        <w:ind w:left="288"/>
      </w:pPr>
      <w:r>
        <w:rPr>
          <w:i/>
          <w:color w:val="7C5316"/>
        </w:rPr>
        <w:t>be published in this form after ratification. Until counsel signs</w:t>
      </w:r>
    </w:p>
    <w:p>
      <w:pPr>
        <w:ind w:left="288"/>
      </w:pPr>
      <w:r>
        <w:rPr>
          <w:i/>
          <w:color w:val="7C5316"/>
        </w:rPr>
        <w:t>off, treat any specific figure, warranty, or jurisdictional choice</w:t>
      </w:r>
    </w:p>
    <w:p>
      <w:pPr>
        <w:ind w:left="288"/>
      </w:pPr>
      <w:r>
        <w:rPr>
          <w:i/>
          <w:color w:val="7C5316"/>
        </w:rPr>
        <w:t>as tentative.</w:t>
      </w:r>
    </w:p>
    <w:p>
      <w:r>
        <w:t>&gt;</w:t>
      </w:r>
    </w:p>
    <w:p>
      <w:pPr>
        <w:ind w:left="288"/>
      </w:pPr>
      <w:r>
        <w:rPr>
          <w:i/>
          <w:color w:val="7C5316"/>
        </w:rPr>
        <w:t>Version: February 2026 · Birthright Foundation (birthright.live) ·</w:t>
      </w:r>
    </w:p>
    <w:p>
      <w:pPr>
        <w:ind w:left="288"/>
      </w:pPr>
      <w:r>
        <w:rPr>
          <w:i/>
          <w:color w:val="7C5316"/>
        </w:rPr>
        <w:t>Executive Director: James Reagan · Contact: legal@birthright.live</w:t>
      </w:r>
    </w:p>
    <w:p>
      <w:pPr>
        <w:pStyle w:val="Heading1"/>
      </w:pPr>
      <w:r>
        <w:t>Universal Indemnification &amp; Hold-Harmless Agreement</w:t>
      </w:r>
    </w:p>
    <w:p>
      <w:r>
        <w:rPr>
          <w:b/>
        </w:rPr>
        <w:t>Version:</w:t>
      </w:r>
      <w:r>
        <w:t xml:space="preserve"> 1.0 · </w:t>
      </w:r>
      <w:r>
        <w:rPr>
          <w:b/>
        </w:rPr>
        <w:t>Effective date:</w:t>
      </w:r>
      <w:r>
        <w:t xml:space="preserve"> February 2026. This</w:t>
      </w:r>
    </w:p>
    <w:p>
      <w:r>
        <w:t>agreement supplements the Terms of Service and applies to workshop</w:t>
      </w:r>
    </w:p>
    <w:p>
      <w:r>
        <w:t>participants, partners, and volunteers.</w:t>
      </w:r>
    </w:p>
    <w:p>
      <w:pPr>
        <w:pStyle w:val="Heading2"/>
      </w:pPr>
      <w:r>
        <w:t>1. Voluntary Participation</w:t>
      </w:r>
    </w:p>
    <w:p>
      <w:r>
        <w:t>Workshops, materials, community events, and partner services are</w:t>
      </w:r>
    </w:p>
    <w:p>
      <w:r>
        <w:t>educational and self-development in nature. You participate at your</w:t>
      </w:r>
    </w:p>
    <w:p>
      <w:r>
        <w:t>own discretion and are solely responsible for your physical,</w:t>
      </w:r>
    </w:p>
    <w:p>
      <w:r>
        <w:t>emotional, and psychological wellbeing during and after</w:t>
      </w:r>
    </w:p>
    <w:p>
      <w:r>
        <w:t>participation.</w:t>
      </w:r>
    </w:p>
    <w:p>
      <w:pPr>
        <w:pStyle w:val="Heading2"/>
      </w:pPr>
      <w:r>
        <w:t>2. No Professional Advice</w:t>
      </w:r>
    </w:p>
    <w:p>
      <w:r>
        <w:t>Content offered by Birthright, its facilitators, and its partners is</w:t>
      </w:r>
    </w:p>
    <w:p>
      <w:r>
        <w:t>not a substitute for licensed mental-health, medical, legal, or</w:t>
      </w:r>
    </w:p>
    <w:p>
      <w:r>
        <w:t>financial advice. If you need such advice, please consult a licensed</w:t>
      </w:r>
    </w:p>
    <w:p>
      <w:r>
        <w:t>professional.</w:t>
      </w:r>
    </w:p>
    <w:p>
      <w:pPr>
        <w:pStyle w:val="Heading2"/>
      </w:pPr>
      <w:r>
        <w:t>3. Hold Harmless</w:t>
      </w:r>
    </w:p>
    <w:p>
      <w:r>
        <w:t>To the fullest extent permitted by law, you release and hold</w:t>
      </w:r>
    </w:p>
    <w:p>
      <w:r>
        <w:t>harmless Birthright Foundation, its directors, officers, employees,</w:t>
      </w:r>
    </w:p>
    <w:p>
      <w:r>
        <w:t>volunteers, facilitators, vendors, and community partners from any</w:t>
      </w:r>
    </w:p>
    <w:p>
      <w:r>
        <w:t>claim, loss, or damage arising out of your participation, except</w:t>
      </w:r>
    </w:p>
    <w:p>
      <w:r>
        <w:t>claims caused by our gross negligence or wilful misconduct.</w:t>
      </w:r>
    </w:p>
    <w:p>
      <w:pPr>
        <w:pStyle w:val="Heading2"/>
      </w:pPr>
      <w:r>
        <w:t>4. Indemnity by You</w:t>
      </w:r>
    </w:p>
    <w:p>
      <w:r>
        <w:t>You agree to defend and indemnify the parties in Section 3 against</w:t>
      </w:r>
    </w:p>
    <w:p>
      <w:r>
        <w:t>third-party claims arising from your acts or omissions or from your</w:t>
      </w:r>
    </w:p>
    <w:p>
      <w:r>
        <w:t>breach of this agreement.</w:t>
      </w:r>
    </w:p>
    <w:p>
      <w:pPr>
        <w:pStyle w:val="Heading2"/>
      </w:pPr>
      <w:r>
        <w:t>5. Data &amp; Privacy</w:t>
      </w:r>
    </w:p>
    <w:p>
      <w:r>
        <w:t>Personal information you share in the course of participation is</w:t>
      </w:r>
    </w:p>
    <w:p>
      <w:r>
        <w:t>governed by our [Privacy Policy](/legal/privacy).</w:t>
      </w:r>
    </w:p>
    <w:p>
      <w:pPr>
        <w:pStyle w:val="Heading2"/>
      </w:pPr>
      <w:r>
        <w:t>6. Community Conduct</w:t>
      </w:r>
    </w:p>
    <w:p>
      <w:r>
        <w:t>You agree to follow our</w:t>
      </w:r>
    </w:p>
    <w:p>
      <w:r>
        <w:t>[Community Standards](/legal/community-standards) and to treat</w:t>
      </w:r>
    </w:p>
    <w:p>
      <w:r>
        <w:t>facilitators, fellow participants, and partners with respect.</w:t>
      </w:r>
    </w:p>
    <w:p>
      <w:pPr>
        <w:pStyle w:val="Heading2"/>
      </w:pPr>
      <w:r>
        <w:t>7. Versioning</w:t>
      </w:r>
    </w:p>
    <w:p>
      <w:r>
        <w:t>This agreement is versioned. When we substantively change it, we</w:t>
      </w:r>
    </w:p>
    <w:p>
      <w:r>
        <w:t>will notify you and ask you to review and accept the new version</w:t>
      </w:r>
    </w:p>
    <w:p>
      <w:r>
        <w:t>before further participation.</w:t>
      </w:r>
    </w:p>
    <w:p>
      <w:pPr>
        <w:pStyle w:val="Heading2"/>
      </w:pPr>
      <w:r>
        <w:t>8. Governing Law</w:t>
      </w:r>
    </w:p>
    <w:p>
      <w:r>
        <w:t>Governed by the laws of the State of North Carolina, USA. Disputes</w:t>
      </w:r>
    </w:p>
    <w:p>
      <w:r>
        <w:t>subject to the exclusive jurisdiction of courts sitting in</w:t>
      </w:r>
    </w:p>
    <w:p>
      <w:r>
        <w:t>Mecklenburg County, NC.</w:t>
      </w:r>
    </w:p>
    <w:p>
      <w:r>
        <w:t>**By signing (electronically or on paper) you confirm you have read</w:t>
      </w:r>
    </w:p>
    <w:p>
      <w:r>
        <w:t>and accepted this agreement in its entirety.**</w:t>
      </w:r>
    </w:p>
    <w:p/>
    <w:p>
      <w:r>
        <w:t>*First draft — pending counsel ratification. Comments to</w:t>
      </w:r>
    </w:p>
    <w:p>
      <w:r>
        <w:t>legal@birthright.live.*</w:t>
      </w:r>
    </w:p>
    <w:p/>
    <w:p>
      <w:pPr>
        <w:pStyle w:val="Heading2"/>
      </w:pPr>
      <w:r>
        <w:t>EU / UK Compliance Addendum</w:t>
      </w:r>
    </w:p>
    <w:p>
      <w:r>
        <w:t>Where an EU or UK resident's mandatory local rights conflict with this</w:t>
      </w:r>
    </w:p>
    <w:p>
      <w:r>
        <w:t>document, the local rules prevail. Key points:</w:t>
      </w:r>
    </w:p>
    <w:p>
      <w:pPr>
        <w:pStyle w:val="ListBullet"/>
      </w:pPr>
      <w:r>
        <w:rPr>
          <w:b/>
        </w:rPr>
        <w:t>GDPR (EU) 2016/679</w:t>
      </w:r>
      <w:r>
        <w:t xml:space="preserve"> and </w:t>
      </w:r>
      <w:r>
        <w:rPr>
          <w:b/>
        </w:rPr>
        <w:t>UK GDPR</w:t>
      </w:r>
      <w:r>
        <w:t xml:space="preserve"> govern personal-data</w:t>
      </w:r>
    </w:p>
    <w:p>
      <w:r>
        <w:t>processing. Lawful bases: contract necessity, legitimate interests</w:t>
      </w:r>
    </w:p>
    <w:p>
      <w:r>
        <w:t>(with opt-out), consent (marketing / non-essential cookies), and</w:t>
      </w:r>
    </w:p>
    <w:p>
      <w:r>
        <w:t>legal obligation.</w:t>
      </w:r>
    </w:p>
    <w:p>
      <w:pPr>
        <w:pStyle w:val="ListBullet"/>
      </w:pPr>
      <w:r>
        <w:rPr>
          <w:b/>
        </w:rPr>
        <w:t>ePrivacy Directive (2002/58/EC)</w:t>
      </w:r>
      <w:r>
        <w:t xml:space="preserve"> — non-essential cookies require</w:t>
      </w:r>
    </w:p>
    <w:p>
      <w:r>
        <w:t>prior opt-in consent (see our Cookie Notice).</w:t>
      </w:r>
    </w:p>
    <w:p>
      <w:pPr>
        <w:pStyle w:val="ListBullet"/>
      </w:pPr>
      <w:r>
        <w:rPr>
          <w:b/>
        </w:rPr>
        <w:t>Consumer Rights Directive (2011/83/EU)</w:t>
      </w:r>
      <w:r>
        <w:t xml:space="preserve"> — 14-day right of</w:t>
      </w:r>
    </w:p>
    <w:p>
      <w:r>
        <w:t>withdrawal on distance sales of goods and most digital services.</w:t>
      </w:r>
    </w:p>
    <w:p>
      <w:r>
        <w:t>Fully-performed digital content with prior consent may lose that</w:t>
      </w:r>
    </w:p>
    <w:p>
      <w:r>
        <w:t>right.</w:t>
      </w:r>
    </w:p>
    <w:p>
      <w:pPr>
        <w:pStyle w:val="ListBullet"/>
      </w:pPr>
      <w:r>
        <w:rPr>
          <w:b/>
        </w:rPr>
        <w:t>Digital Services Act (Reg. 2022/2065)</w:t>
      </w:r>
      <w:r>
        <w:t xml:space="preserve"> — community features</w:t>
      </w:r>
    </w:p>
    <w:p>
      <w:r>
        <w:t>(posts, DMs, disputes) fall in scope. Single point of contact:</w:t>
      </w:r>
    </w:p>
    <w:p>
      <w:r>
        <w:t>eu-contact@birthright.live.</w:t>
      </w:r>
    </w:p>
    <w:p>
      <w:pPr>
        <w:pStyle w:val="ListBullet"/>
      </w:pPr>
      <w:r>
        <w:rPr>
          <w:b/>
        </w:rPr>
        <w:t>Cross-border transfers</w:t>
      </w:r>
      <w:r>
        <w:t xml:space="preserve"> — EU SCCs (2021/914) + UK IDTA with a</w:t>
      </w:r>
    </w:p>
    <w:p>
      <w:r>
        <w:t>transfer-impact assessment per sub-processor.</w:t>
      </w:r>
    </w:p>
    <w:p>
      <w:pPr>
        <w:pStyle w:val="ListBullet"/>
      </w:pPr>
      <w:r>
        <w:rPr>
          <w:b/>
        </w:rPr>
        <w:t>DSAR window</w:t>
      </w:r>
      <w:r>
        <w:t xml:space="preserve"> — 30 days (extendable to 90) at</w:t>
      </w:r>
    </w:p>
    <w:p>
      <w:r>
        <w:t>privacy@birthright.live.</w:t>
      </w:r>
    </w:p>
    <w:p>
      <w:pPr>
        <w:pStyle w:val="ListBullet"/>
      </w:pPr>
      <w:r>
        <w:rPr>
          <w:b/>
        </w:rPr>
        <w:t>Supervisory authority</w:t>
      </w:r>
      <w:r>
        <w:t xml:space="preserve"> — EU: your national DPA</w:t>
      </w:r>
    </w:p>
    <w:p>
      <w:r>
        <w:t>(</w:t>
      </w:r>
      <w:hyperlink r:id="rId9">
        <w:r>
          <w:rPr>
            <w:color w:val="0563C1"/>
            <w:u w:val="single"/>
          </w:rPr>
          <w:t xml:space="preserve">https://edpb.europa.eu</w:t>
        </w:r>
      </w:hyperlink>
      <w:r>
        <w:t>). UK: ICO (</w:t>
      </w:r>
      <w:hyperlink r:id="rId10">
        <w:r>
          <w:rPr>
            <w:color w:val="0563C1"/>
            <w:u w:val="single"/>
          </w:rPr>
          <w:t xml:space="preserve">https://ico.org.uk</w:t>
        </w:r>
      </w:hyperlink>
      <w:r>
        <w:t>).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dpb.europa.eu" TargetMode="External"/><Relationship Id="rId10" Type="http://schemas.openxmlformats.org/officeDocument/2006/relationships/hyperlink" Target="https://ico.org.u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